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0B2487" w:rsidRPr="00F16284" w:rsidTr="00886651">
        <w:tc>
          <w:tcPr>
            <w:tcW w:w="5428" w:type="dxa"/>
          </w:tcPr>
          <w:p w:rsidR="000B2487" w:rsidRPr="00F16284" w:rsidRDefault="000B2487" w:rsidP="000B5733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B2487" w:rsidRDefault="000B2487" w:rsidP="000B5733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3</w:t>
            </w:r>
          </w:p>
          <w:p w:rsidR="000B2487" w:rsidRDefault="000B2487" w:rsidP="000B5733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39B1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Губернатора </w:t>
            </w:r>
          </w:p>
          <w:p w:rsidR="000B2487" w:rsidRPr="00F16284" w:rsidRDefault="000B2487" w:rsidP="000B5733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0B2487" w:rsidRPr="00F16284" w:rsidTr="00886651">
        <w:tc>
          <w:tcPr>
            <w:tcW w:w="5428" w:type="dxa"/>
          </w:tcPr>
          <w:p w:rsidR="000B2487" w:rsidRPr="00F16284" w:rsidRDefault="000B2487" w:rsidP="000B5733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B2487" w:rsidRPr="00F16284" w:rsidRDefault="00C00639" w:rsidP="000B5733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20.06.2023 № 61-пг</w:t>
            </w:r>
            <w:bookmarkStart w:id="0" w:name="_GoBack"/>
            <w:bookmarkEnd w:id="0"/>
          </w:p>
        </w:tc>
      </w:tr>
      <w:tr w:rsidR="000B2487" w:rsidRPr="00F16284" w:rsidTr="00886651">
        <w:tc>
          <w:tcPr>
            <w:tcW w:w="5428" w:type="dxa"/>
          </w:tcPr>
          <w:p w:rsidR="000B2487" w:rsidRPr="00F16284" w:rsidRDefault="000B2487" w:rsidP="000B5733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B2487" w:rsidRPr="00F16284" w:rsidRDefault="000B2487" w:rsidP="000B5733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2487" w:rsidRPr="00F16284" w:rsidTr="00886651">
        <w:tc>
          <w:tcPr>
            <w:tcW w:w="5428" w:type="dxa"/>
          </w:tcPr>
          <w:p w:rsidR="000B2487" w:rsidRPr="00F16284" w:rsidRDefault="000B2487" w:rsidP="000B5733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B2487" w:rsidRPr="00F16284" w:rsidRDefault="000B2487" w:rsidP="000B5733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2487" w:rsidRPr="00F16284" w:rsidTr="00886651">
        <w:tc>
          <w:tcPr>
            <w:tcW w:w="5428" w:type="dxa"/>
          </w:tcPr>
          <w:p w:rsidR="000B2487" w:rsidRPr="00F16284" w:rsidRDefault="000B2487" w:rsidP="000B5733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B2487" w:rsidRPr="000B2487" w:rsidRDefault="000B2487" w:rsidP="000B5733">
            <w:pPr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B2487">
              <w:rPr>
                <w:rFonts w:ascii="Times New Roman" w:hAnsi="Times New Roman"/>
                <w:spacing w:val="-4"/>
                <w:sz w:val="28"/>
                <w:szCs w:val="28"/>
              </w:rPr>
              <w:t>«Приложение</w:t>
            </w:r>
          </w:p>
          <w:p w:rsidR="000B2487" w:rsidRPr="000B2487" w:rsidRDefault="000B2487" w:rsidP="000B5733">
            <w:pPr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B2487">
              <w:rPr>
                <w:rFonts w:ascii="Times New Roman" w:hAnsi="Times New Roman"/>
                <w:spacing w:val="-4"/>
                <w:sz w:val="28"/>
                <w:szCs w:val="28"/>
              </w:rPr>
              <w:t>к Порядку организации взаимодействия органов местного самоуправления</w:t>
            </w:r>
          </w:p>
          <w:p w:rsidR="000B2487" w:rsidRPr="000B2487" w:rsidRDefault="000B2487" w:rsidP="000B5733">
            <w:pPr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B248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муниципальных, городских округов и муниципальных районов Рязанской области и исполнительных органов </w:t>
            </w:r>
          </w:p>
          <w:p w:rsidR="000B2487" w:rsidRPr="000B2487" w:rsidRDefault="000B2487" w:rsidP="000B5733">
            <w:pPr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B2487">
              <w:rPr>
                <w:rFonts w:ascii="Times New Roman" w:hAnsi="Times New Roman"/>
                <w:spacing w:val="-4"/>
                <w:sz w:val="28"/>
                <w:szCs w:val="28"/>
              </w:rPr>
              <w:t>Рязанской области по оценке</w:t>
            </w:r>
          </w:p>
          <w:p w:rsidR="000B2487" w:rsidRPr="000B2487" w:rsidRDefault="000B2487" w:rsidP="000B5733">
            <w:pPr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B2487">
              <w:rPr>
                <w:rFonts w:ascii="Times New Roman" w:hAnsi="Times New Roman"/>
                <w:spacing w:val="-4"/>
                <w:sz w:val="28"/>
                <w:szCs w:val="28"/>
              </w:rPr>
              <w:t>эффективности деятельности</w:t>
            </w:r>
          </w:p>
          <w:p w:rsidR="000B2487" w:rsidRPr="001F0361" w:rsidRDefault="000B2487" w:rsidP="000B5733">
            <w:pPr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B2487">
              <w:rPr>
                <w:rFonts w:ascii="Times New Roman" w:hAnsi="Times New Roman"/>
                <w:spacing w:val="-4"/>
                <w:sz w:val="28"/>
                <w:szCs w:val="28"/>
              </w:rPr>
              <w:t>органов местного самоуправления</w:t>
            </w:r>
            <w:r w:rsidRPr="001F036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0B2487">
              <w:rPr>
                <w:rFonts w:ascii="Times New Roman" w:hAnsi="Times New Roman"/>
                <w:spacing w:val="-4"/>
                <w:sz w:val="28"/>
                <w:szCs w:val="28"/>
              </w:rPr>
              <w:t>муниципальных, городских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0B2487">
              <w:rPr>
                <w:rFonts w:ascii="Times New Roman" w:hAnsi="Times New Roman"/>
                <w:spacing w:val="-4"/>
                <w:sz w:val="28"/>
                <w:szCs w:val="28"/>
              </w:rPr>
              <w:t>округов и муниципальных районов</w:t>
            </w:r>
            <w:r w:rsidRPr="001F036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0B2487">
              <w:rPr>
                <w:rFonts w:ascii="Times New Roman" w:hAnsi="Times New Roman"/>
                <w:spacing w:val="-4"/>
                <w:sz w:val="28"/>
                <w:szCs w:val="28"/>
              </w:rPr>
              <w:t>Рязанской области</w:t>
            </w:r>
          </w:p>
        </w:tc>
      </w:tr>
    </w:tbl>
    <w:p w:rsidR="000B2487" w:rsidRDefault="000B2487" w:rsidP="000B5733">
      <w:pPr>
        <w:autoSpaceDE w:val="0"/>
        <w:autoSpaceDN w:val="0"/>
        <w:adjustRightInd w:val="0"/>
        <w:spacing w:line="233" w:lineRule="auto"/>
        <w:jc w:val="center"/>
        <w:rPr>
          <w:rFonts w:cs="TimesET"/>
          <w:bCs/>
          <w:sz w:val="28"/>
          <w:szCs w:val="28"/>
        </w:rPr>
      </w:pPr>
    </w:p>
    <w:p w:rsidR="000B2487" w:rsidRPr="001F0361" w:rsidRDefault="000B2487" w:rsidP="000B5733">
      <w:pPr>
        <w:autoSpaceDE w:val="0"/>
        <w:autoSpaceDN w:val="0"/>
        <w:adjustRightInd w:val="0"/>
        <w:spacing w:line="233" w:lineRule="auto"/>
        <w:jc w:val="center"/>
        <w:rPr>
          <w:rFonts w:cs="TimesET"/>
          <w:bCs/>
          <w:sz w:val="28"/>
          <w:szCs w:val="28"/>
        </w:rPr>
      </w:pPr>
      <w:r w:rsidRPr="001F0361">
        <w:rPr>
          <w:rFonts w:cs="TimesET"/>
          <w:bCs/>
          <w:sz w:val="28"/>
          <w:szCs w:val="28"/>
        </w:rPr>
        <w:t>ПЕРЕЧЕНЬ</w:t>
      </w:r>
    </w:p>
    <w:p w:rsidR="000B2487" w:rsidRDefault="000B2487" w:rsidP="000B5733">
      <w:pPr>
        <w:autoSpaceDE w:val="0"/>
        <w:autoSpaceDN w:val="0"/>
        <w:adjustRightInd w:val="0"/>
        <w:spacing w:line="233" w:lineRule="auto"/>
        <w:jc w:val="center"/>
        <w:rPr>
          <w:rFonts w:cs="TimesET"/>
          <w:bCs/>
          <w:sz w:val="28"/>
          <w:szCs w:val="28"/>
        </w:rPr>
      </w:pPr>
      <w:r w:rsidRPr="001F0361">
        <w:rPr>
          <w:rFonts w:cs="TimesET"/>
          <w:bCs/>
          <w:sz w:val="28"/>
          <w:szCs w:val="28"/>
        </w:rPr>
        <w:t xml:space="preserve">исполнителей (соисполнителей), ответственных </w:t>
      </w:r>
      <w:proofErr w:type="gramStart"/>
      <w:r w:rsidRPr="001F0361">
        <w:rPr>
          <w:rFonts w:cs="TimesET"/>
          <w:bCs/>
          <w:sz w:val="28"/>
          <w:szCs w:val="28"/>
        </w:rPr>
        <w:t>за</w:t>
      </w:r>
      <w:proofErr w:type="gramEnd"/>
      <w:r w:rsidRPr="001F0361">
        <w:rPr>
          <w:rFonts w:cs="TimesET"/>
          <w:bCs/>
          <w:sz w:val="28"/>
          <w:szCs w:val="28"/>
        </w:rPr>
        <w:t xml:space="preserve"> </w:t>
      </w:r>
    </w:p>
    <w:p w:rsidR="000B2487" w:rsidRPr="001F0361" w:rsidRDefault="000B2487" w:rsidP="000B5733">
      <w:pPr>
        <w:autoSpaceDE w:val="0"/>
        <w:autoSpaceDN w:val="0"/>
        <w:adjustRightInd w:val="0"/>
        <w:spacing w:line="233" w:lineRule="auto"/>
        <w:jc w:val="center"/>
        <w:rPr>
          <w:rFonts w:cs="TimesET"/>
          <w:bCs/>
          <w:sz w:val="28"/>
          <w:szCs w:val="28"/>
        </w:rPr>
      </w:pPr>
      <w:r w:rsidRPr="001F0361">
        <w:rPr>
          <w:rFonts w:cs="TimesET"/>
          <w:bCs/>
          <w:sz w:val="28"/>
          <w:szCs w:val="28"/>
        </w:rPr>
        <w:t>проведение</w:t>
      </w:r>
      <w:r>
        <w:rPr>
          <w:rFonts w:cs="TimesET"/>
          <w:bCs/>
          <w:sz w:val="28"/>
          <w:szCs w:val="28"/>
        </w:rPr>
        <w:t xml:space="preserve"> </w:t>
      </w:r>
      <w:r w:rsidRPr="001F0361">
        <w:rPr>
          <w:rFonts w:cs="TimesET"/>
          <w:bCs/>
          <w:sz w:val="28"/>
          <w:szCs w:val="28"/>
        </w:rPr>
        <w:t>мониторинга докладов глав местных администраций</w:t>
      </w:r>
    </w:p>
    <w:p w:rsidR="000B2487" w:rsidRDefault="000B2487" w:rsidP="000B5733">
      <w:pPr>
        <w:autoSpaceDE w:val="0"/>
        <w:autoSpaceDN w:val="0"/>
        <w:adjustRightInd w:val="0"/>
        <w:spacing w:line="233" w:lineRule="auto"/>
        <w:jc w:val="center"/>
        <w:rPr>
          <w:rFonts w:cs="TimesET"/>
          <w:bCs/>
          <w:sz w:val="28"/>
          <w:szCs w:val="28"/>
        </w:rPr>
      </w:pPr>
      <w:r w:rsidRPr="001F0361">
        <w:rPr>
          <w:rFonts w:cs="TimesET"/>
          <w:bCs/>
          <w:sz w:val="28"/>
          <w:szCs w:val="28"/>
        </w:rPr>
        <w:t xml:space="preserve">муниципальных, городских округов и муниципальных районов </w:t>
      </w:r>
    </w:p>
    <w:p w:rsidR="000B2487" w:rsidRDefault="000B2487" w:rsidP="000B5733">
      <w:pPr>
        <w:autoSpaceDE w:val="0"/>
        <w:autoSpaceDN w:val="0"/>
        <w:adjustRightInd w:val="0"/>
        <w:spacing w:line="233" w:lineRule="auto"/>
        <w:jc w:val="center"/>
        <w:rPr>
          <w:rFonts w:cs="TimesET"/>
          <w:bCs/>
          <w:sz w:val="28"/>
          <w:szCs w:val="28"/>
        </w:rPr>
      </w:pPr>
      <w:r w:rsidRPr="001F0361">
        <w:rPr>
          <w:rFonts w:cs="TimesET"/>
          <w:bCs/>
          <w:sz w:val="28"/>
          <w:szCs w:val="28"/>
        </w:rPr>
        <w:t xml:space="preserve">Рязанской области о достигнутых значениях показателей </w:t>
      </w:r>
      <w:proofErr w:type="gramStart"/>
      <w:r w:rsidRPr="001F0361">
        <w:rPr>
          <w:rFonts w:cs="TimesET"/>
          <w:bCs/>
          <w:sz w:val="28"/>
          <w:szCs w:val="28"/>
        </w:rPr>
        <w:t>для</w:t>
      </w:r>
      <w:proofErr w:type="gramEnd"/>
      <w:r w:rsidRPr="001F0361">
        <w:rPr>
          <w:rFonts w:cs="TimesET"/>
          <w:bCs/>
          <w:sz w:val="28"/>
          <w:szCs w:val="28"/>
        </w:rPr>
        <w:t xml:space="preserve"> </w:t>
      </w:r>
    </w:p>
    <w:p w:rsidR="000B2487" w:rsidRDefault="000B2487" w:rsidP="000B5733">
      <w:pPr>
        <w:autoSpaceDE w:val="0"/>
        <w:autoSpaceDN w:val="0"/>
        <w:adjustRightInd w:val="0"/>
        <w:spacing w:line="233" w:lineRule="auto"/>
        <w:jc w:val="center"/>
        <w:rPr>
          <w:rFonts w:cs="TimesET"/>
          <w:bCs/>
          <w:sz w:val="28"/>
          <w:szCs w:val="28"/>
        </w:rPr>
      </w:pPr>
      <w:r w:rsidRPr="001F0361">
        <w:rPr>
          <w:rFonts w:cs="TimesET"/>
          <w:bCs/>
          <w:sz w:val="28"/>
          <w:szCs w:val="28"/>
        </w:rPr>
        <w:t>оценки</w:t>
      </w:r>
      <w:r>
        <w:rPr>
          <w:rFonts w:cs="TimesET"/>
          <w:bCs/>
          <w:sz w:val="28"/>
          <w:szCs w:val="28"/>
        </w:rPr>
        <w:t xml:space="preserve"> </w:t>
      </w:r>
      <w:r w:rsidRPr="001F0361">
        <w:rPr>
          <w:rFonts w:cs="TimesET"/>
          <w:bCs/>
          <w:sz w:val="28"/>
          <w:szCs w:val="28"/>
        </w:rPr>
        <w:t xml:space="preserve">эффективности деятельности органов местного </w:t>
      </w:r>
    </w:p>
    <w:p w:rsidR="000B2487" w:rsidRDefault="000B2487" w:rsidP="000B5733">
      <w:pPr>
        <w:autoSpaceDE w:val="0"/>
        <w:autoSpaceDN w:val="0"/>
        <w:adjustRightInd w:val="0"/>
        <w:spacing w:line="233" w:lineRule="auto"/>
        <w:jc w:val="center"/>
        <w:rPr>
          <w:rFonts w:cs="TimesET"/>
          <w:bCs/>
          <w:sz w:val="28"/>
          <w:szCs w:val="28"/>
        </w:rPr>
      </w:pPr>
      <w:r w:rsidRPr="001F0361">
        <w:rPr>
          <w:rFonts w:cs="TimesET"/>
          <w:bCs/>
          <w:sz w:val="28"/>
          <w:szCs w:val="28"/>
        </w:rPr>
        <w:t>самоуправления</w:t>
      </w:r>
      <w:r>
        <w:rPr>
          <w:rFonts w:cs="TimesET"/>
          <w:bCs/>
          <w:sz w:val="28"/>
          <w:szCs w:val="28"/>
        </w:rPr>
        <w:t xml:space="preserve"> </w:t>
      </w:r>
      <w:r w:rsidRPr="001F0361">
        <w:rPr>
          <w:rFonts w:cs="TimesET"/>
          <w:bCs/>
          <w:sz w:val="28"/>
          <w:szCs w:val="28"/>
        </w:rPr>
        <w:t xml:space="preserve">муниципальных, городских округов и </w:t>
      </w:r>
    </w:p>
    <w:p w:rsidR="000B2487" w:rsidRDefault="000B2487" w:rsidP="000B5733">
      <w:pPr>
        <w:autoSpaceDE w:val="0"/>
        <w:autoSpaceDN w:val="0"/>
        <w:adjustRightInd w:val="0"/>
        <w:spacing w:line="233" w:lineRule="auto"/>
        <w:jc w:val="center"/>
        <w:rPr>
          <w:rFonts w:cs="TimesET"/>
          <w:bCs/>
          <w:sz w:val="28"/>
          <w:szCs w:val="28"/>
        </w:rPr>
      </w:pPr>
      <w:r w:rsidRPr="001F0361">
        <w:rPr>
          <w:rFonts w:cs="TimesET"/>
          <w:bCs/>
          <w:sz w:val="28"/>
          <w:szCs w:val="28"/>
        </w:rPr>
        <w:t xml:space="preserve">муниципальных районов Рязанской области за </w:t>
      </w:r>
      <w:proofErr w:type="gramStart"/>
      <w:r w:rsidRPr="001F0361">
        <w:rPr>
          <w:rFonts w:cs="TimesET"/>
          <w:bCs/>
          <w:sz w:val="28"/>
          <w:szCs w:val="28"/>
        </w:rPr>
        <w:t>отчетный</w:t>
      </w:r>
      <w:proofErr w:type="gramEnd"/>
      <w:r w:rsidRPr="001F0361">
        <w:rPr>
          <w:rFonts w:cs="TimesET"/>
          <w:bCs/>
          <w:sz w:val="28"/>
          <w:szCs w:val="28"/>
        </w:rPr>
        <w:t xml:space="preserve"> </w:t>
      </w:r>
    </w:p>
    <w:p w:rsidR="000B2487" w:rsidRPr="001F0361" w:rsidRDefault="000B2487" w:rsidP="000B5733">
      <w:pPr>
        <w:autoSpaceDE w:val="0"/>
        <w:autoSpaceDN w:val="0"/>
        <w:adjustRightInd w:val="0"/>
        <w:spacing w:line="233" w:lineRule="auto"/>
        <w:jc w:val="center"/>
        <w:rPr>
          <w:rFonts w:cs="TimesET"/>
          <w:bCs/>
          <w:sz w:val="28"/>
          <w:szCs w:val="28"/>
        </w:rPr>
      </w:pPr>
      <w:r w:rsidRPr="001F0361">
        <w:rPr>
          <w:rFonts w:cs="TimesET"/>
          <w:bCs/>
          <w:sz w:val="28"/>
          <w:szCs w:val="28"/>
        </w:rPr>
        <w:t xml:space="preserve">год и их планируемых </w:t>
      </w:r>
      <w:proofErr w:type="gramStart"/>
      <w:r w:rsidRPr="001F0361">
        <w:rPr>
          <w:rFonts w:cs="TimesET"/>
          <w:bCs/>
          <w:sz w:val="28"/>
          <w:szCs w:val="28"/>
        </w:rPr>
        <w:t>значениях</w:t>
      </w:r>
      <w:proofErr w:type="gramEnd"/>
      <w:r>
        <w:rPr>
          <w:rFonts w:cs="TimesET"/>
          <w:bCs/>
          <w:sz w:val="28"/>
          <w:szCs w:val="28"/>
        </w:rPr>
        <w:t xml:space="preserve"> </w:t>
      </w:r>
      <w:r w:rsidRPr="001F0361">
        <w:rPr>
          <w:rFonts w:cs="TimesET"/>
          <w:bCs/>
          <w:sz w:val="28"/>
          <w:szCs w:val="28"/>
        </w:rPr>
        <w:t>на 3-летний период</w:t>
      </w:r>
    </w:p>
    <w:p w:rsidR="000B2487" w:rsidRDefault="000B2487" w:rsidP="000B5733">
      <w:pPr>
        <w:autoSpaceDE w:val="0"/>
        <w:autoSpaceDN w:val="0"/>
        <w:adjustRightInd w:val="0"/>
        <w:spacing w:line="233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2734"/>
        <w:gridCol w:w="2267"/>
        <w:gridCol w:w="4030"/>
      </w:tblGrid>
      <w:tr w:rsidR="000B2487" w:rsidRPr="00F839B1" w:rsidTr="000B2487">
        <w:tc>
          <w:tcPr>
            <w:tcW w:w="448" w:type="dxa"/>
            <w:vAlign w:val="center"/>
          </w:tcPr>
          <w:p w:rsidR="000B2487" w:rsidRPr="000B2487" w:rsidRDefault="000B2487" w:rsidP="000B573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B2487">
              <w:rPr>
                <w:rFonts w:ascii="Times New Roman" w:hAnsi="Times New Roman"/>
                <w:spacing w:val="-4"/>
                <w:sz w:val="24"/>
                <w:szCs w:val="24"/>
              </w:rPr>
              <w:t>№</w:t>
            </w:r>
          </w:p>
          <w:p w:rsidR="000B2487" w:rsidRPr="000B2487" w:rsidRDefault="000B2487" w:rsidP="000B573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0B2487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gramEnd"/>
            <w:r w:rsidRPr="000B2487">
              <w:rPr>
                <w:rFonts w:ascii="Times New Roman" w:hAnsi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2734" w:type="dxa"/>
            <w:vAlign w:val="center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2267" w:type="dxa"/>
            <w:vAlign w:val="center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030" w:type="dxa"/>
            <w:vAlign w:val="center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>Соисполнитель</w:t>
            </w:r>
          </w:p>
        </w:tc>
      </w:tr>
    </w:tbl>
    <w:p w:rsidR="000B2487" w:rsidRPr="000B2487" w:rsidRDefault="000B2487" w:rsidP="000B5733">
      <w:pPr>
        <w:spacing w:line="233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2734"/>
        <w:gridCol w:w="2267"/>
        <w:gridCol w:w="4030"/>
      </w:tblGrid>
      <w:tr w:rsidR="000B2487" w:rsidRPr="00F839B1" w:rsidTr="000B2487">
        <w:trPr>
          <w:tblHeader/>
        </w:trPr>
        <w:tc>
          <w:tcPr>
            <w:tcW w:w="448" w:type="dxa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4" w:type="dxa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30" w:type="dxa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B2487" w:rsidRPr="00F839B1" w:rsidTr="000B2487">
        <w:tc>
          <w:tcPr>
            <w:tcW w:w="448" w:type="dxa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34" w:type="dxa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>Экономическое развитие</w:t>
            </w:r>
          </w:p>
        </w:tc>
        <w:tc>
          <w:tcPr>
            <w:tcW w:w="2267" w:type="dxa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>министерство экономического развития Рязанской области</w:t>
            </w:r>
          </w:p>
        </w:tc>
        <w:tc>
          <w:tcPr>
            <w:tcW w:w="4030" w:type="dxa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>министерство транспорта и автомобильных дорог Рязанской области; министерство имущественных и земельных отношений Рязанской области;</w:t>
            </w:r>
          </w:p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>министерство сельского хозяйства и продовольствия Рязанской области; министерство труда и социальной защиты населения Рязанской области</w:t>
            </w:r>
          </w:p>
        </w:tc>
      </w:tr>
      <w:tr w:rsidR="000B2487" w:rsidRPr="00F839B1" w:rsidTr="000B2487">
        <w:tc>
          <w:tcPr>
            <w:tcW w:w="448" w:type="dxa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34" w:type="dxa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267" w:type="dxa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>министерство образования Рязанской области</w:t>
            </w:r>
          </w:p>
        </w:tc>
        <w:tc>
          <w:tcPr>
            <w:tcW w:w="4030" w:type="dxa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487" w:rsidRPr="00F839B1" w:rsidTr="000B2487">
        <w:tc>
          <w:tcPr>
            <w:tcW w:w="448" w:type="dxa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34" w:type="dxa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>Общее и дополнительное образование</w:t>
            </w:r>
          </w:p>
        </w:tc>
        <w:tc>
          <w:tcPr>
            <w:tcW w:w="2267" w:type="dxa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>министерство образования Рязанской области</w:t>
            </w:r>
          </w:p>
        </w:tc>
        <w:tc>
          <w:tcPr>
            <w:tcW w:w="4030" w:type="dxa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>министерство здравоохранения Рязанской области</w:t>
            </w:r>
          </w:p>
        </w:tc>
      </w:tr>
      <w:tr w:rsidR="000B2487" w:rsidRPr="00F839B1" w:rsidTr="000B2487">
        <w:tc>
          <w:tcPr>
            <w:tcW w:w="448" w:type="dxa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734" w:type="dxa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2267" w:type="dxa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>министерство культуры Рязанской области</w:t>
            </w:r>
          </w:p>
        </w:tc>
        <w:tc>
          <w:tcPr>
            <w:tcW w:w="4030" w:type="dxa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>государственная инспекция по охране объектов культурного наследия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 комитет инвестиций и туризма Рязанской области</w:t>
            </w:r>
          </w:p>
        </w:tc>
      </w:tr>
      <w:tr w:rsidR="000B2487" w:rsidRPr="00F839B1" w:rsidTr="000B2487">
        <w:tc>
          <w:tcPr>
            <w:tcW w:w="448" w:type="dxa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34" w:type="dxa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67" w:type="dxa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>министерство физической культуры и спорта Рязанской области</w:t>
            </w:r>
          </w:p>
        </w:tc>
        <w:tc>
          <w:tcPr>
            <w:tcW w:w="4030" w:type="dxa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487" w:rsidRPr="00F839B1" w:rsidTr="000B2487">
        <w:tc>
          <w:tcPr>
            <w:tcW w:w="448" w:type="dxa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34" w:type="dxa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>Жилищное строительство и обеспечение граждан жильем</w:t>
            </w:r>
          </w:p>
        </w:tc>
        <w:tc>
          <w:tcPr>
            <w:tcW w:w="2267" w:type="dxa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>министерство строительного комплекса Рязанской области</w:t>
            </w:r>
          </w:p>
        </w:tc>
        <w:tc>
          <w:tcPr>
            <w:tcW w:w="4030" w:type="dxa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>министерство имущественных и земельных отношений Рязанской области;</w:t>
            </w:r>
          </w:p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>главное управление архитектуры и градостроительства Рязанской области</w:t>
            </w:r>
          </w:p>
        </w:tc>
      </w:tr>
      <w:tr w:rsidR="000B2487" w:rsidRPr="00F839B1" w:rsidTr="000B2487">
        <w:tc>
          <w:tcPr>
            <w:tcW w:w="448" w:type="dxa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734" w:type="dxa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67" w:type="dxa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>министерство топливно-энергетического комплекса и жилищно-коммунального хозяйства Рязанской области</w:t>
            </w:r>
          </w:p>
        </w:tc>
        <w:tc>
          <w:tcPr>
            <w:tcW w:w="4030" w:type="dxa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жилищная </w:t>
            </w:r>
            <w:r w:rsidRPr="00F839B1">
              <w:rPr>
                <w:rFonts w:ascii="Times New Roman" w:hAnsi="Times New Roman"/>
                <w:sz w:val="24"/>
                <w:szCs w:val="24"/>
              </w:rPr>
              <w:t>инспекция Рязанской области</w:t>
            </w:r>
          </w:p>
        </w:tc>
      </w:tr>
      <w:tr w:rsidR="000B2487" w:rsidRPr="00F839B1" w:rsidTr="000B2487">
        <w:tc>
          <w:tcPr>
            <w:tcW w:w="448" w:type="dxa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734" w:type="dxa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>Организация муниципального управления</w:t>
            </w:r>
          </w:p>
        </w:tc>
        <w:tc>
          <w:tcPr>
            <w:tcW w:w="2267" w:type="dxa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территориальной политики</w:t>
            </w:r>
            <w:r w:rsidRPr="00F839B1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4030" w:type="dxa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>министерство финансов Рязанской области; министерство труда и социальной защиты населения Рязанской области; министерство строительного комплекса Рязанской области; главное управление архитектуры и градостроительства Рязанской области</w:t>
            </w:r>
          </w:p>
        </w:tc>
      </w:tr>
      <w:tr w:rsidR="000B2487" w:rsidRPr="00F839B1" w:rsidTr="000B2487">
        <w:tc>
          <w:tcPr>
            <w:tcW w:w="448" w:type="dxa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734" w:type="dxa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>Энерго</w:t>
            </w:r>
            <w:r>
              <w:rPr>
                <w:rFonts w:ascii="Times New Roman" w:hAnsi="Times New Roman"/>
                <w:sz w:val="24"/>
                <w:szCs w:val="24"/>
              </w:rPr>
              <w:t>сбережение</w:t>
            </w:r>
            <w:r w:rsidRPr="00F839B1">
              <w:rPr>
                <w:rFonts w:ascii="Times New Roman" w:hAnsi="Times New Roman"/>
                <w:sz w:val="24"/>
                <w:szCs w:val="24"/>
              </w:rPr>
              <w:t xml:space="preserve"> и повышение энергетической эффективности</w:t>
            </w:r>
          </w:p>
        </w:tc>
        <w:tc>
          <w:tcPr>
            <w:tcW w:w="2267" w:type="dxa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>министерство топливно-энергетического комплекса и жилищно-коммунального хозяйства Рязанской области</w:t>
            </w:r>
          </w:p>
        </w:tc>
        <w:tc>
          <w:tcPr>
            <w:tcW w:w="4030" w:type="dxa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487" w:rsidRPr="00F839B1" w:rsidTr="000B2487">
        <w:tc>
          <w:tcPr>
            <w:tcW w:w="448" w:type="dxa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734" w:type="dxa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 xml:space="preserve">Результаты независимой </w:t>
            </w:r>
            <w:proofErr w:type="gramStart"/>
            <w:r w:rsidRPr="00F839B1">
              <w:rPr>
                <w:rFonts w:ascii="Times New Roman" w:hAnsi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F839B1">
              <w:rPr>
                <w:rFonts w:ascii="Times New Roman" w:hAnsi="Times New Roman"/>
                <w:sz w:val="24"/>
                <w:szCs w:val="24"/>
              </w:rPr>
              <w:t xml:space="preserve">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</w:t>
            </w:r>
            <w:r w:rsidRPr="00F839B1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образований и оказывающими услуги в указанных сферах за счет бюджетных ассигнований бюд</w:t>
            </w:r>
            <w:r>
              <w:rPr>
                <w:rFonts w:ascii="Times New Roman" w:hAnsi="Times New Roman"/>
                <w:sz w:val="24"/>
                <w:szCs w:val="24"/>
              </w:rPr>
              <w:t>жетов муниципальных образований*</w:t>
            </w:r>
          </w:p>
        </w:tc>
        <w:tc>
          <w:tcPr>
            <w:tcW w:w="2267" w:type="dxa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образования Рязанской области</w:t>
            </w:r>
          </w:p>
        </w:tc>
        <w:tc>
          <w:tcPr>
            <w:tcW w:w="4030" w:type="dxa"/>
          </w:tcPr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>министерство культуры Рязанской области;</w:t>
            </w:r>
          </w:p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>министерство здравоохранения Рязанской области;</w:t>
            </w:r>
          </w:p>
          <w:p w:rsidR="000B2487" w:rsidRPr="00F839B1" w:rsidRDefault="000B2487" w:rsidP="000B573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839B1">
              <w:rPr>
                <w:rFonts w:ascii="Times New Roman" w:hAnsi="Times New Roman"/>
                <w:sz w:val="24"/>
                <w:szCs w:val="24"/>
              </w:rPr>
              <w:t>министерство труда и социальной защиты населения Рязанской области</w:t>
            </w:r>
          </w:p>
        </w:tc>
      </w:tr>
    </w:tbl>
    <w:p w:rsidR="000B2487" w:rsidRPr="00A23318" w:rsidRDefault="000B2487" w:rsidP="000B5733">
      <w:pPr>
        <w:autoSpaceDE w:val="0"/>
        <w:autoSpaceDN w:val="0"/>
        <w:adjustRightInd w:val="0"/>
        <w:spacing w:line="233" w:lineRule="auto"/>
        <w:rPr>
          <w:rFonts w:cs="TimesET"/>
          <w:sz w:val="6"/>
          <w:szCs w:val="6"/>
        </w:rPr>
      </w:pPr>
    </w:p>
    <w:p w:rsidR="000B2487" w:rsidRPr="001F0361" w:rsidRDefault="000B2487" w:rsidP="000B5733">
      <w:pPr>
        <w:autoSpaceDE w:val="0"/>
        <w:autoSpaceDN w:val="0"/>
        <w:adjustRightInd w:val="0"/>
        <w:spacing w:line="233" w:lineRule="auto"/>
        <w:ind w:firstLine="540"/>
        <w:jc w:val="both"/>
        <w:rPr>
          <w:rFonts w:cs="TimesET"/>
          <w:sz w:val="24"/>
          <w:szCs w:val="24"/>
        </w:rPr>
      </w:pPr>
      <w:proofErr w:type="gramStart"/>
      <w:r w:rsidRPr="001F0361">
        <w:rPr>
          <w:rFonts w:cs="TimesET"/>
          <w:sz w:val="24"/>
          <w:szCs w:val="24"/>
        </w:rPr>
        <w:t xml:space="preserve">*Результаты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исполнительными органами Рязанской области полномочий в сфере охраны здоровья органам местного самоуправления муниципальных, городских округов и муниципальных районов в соответствии с </w:t>
      </w:r>
      <w:hyperlink r:id="rId11" w:history="1">
        <w:r w:rsidRPr="001F0361">
          <w:rPr>
            <w:rFonts w:cs="TimesET"/>
            <w:sz w:val="24"/>
            <w:szCs w:val="24"/>
          </w:rPr>
          <w:t>частью 2 статьи 16</w:t>
        </w:r>
      </w:hyperlink>
      <w:r w:rsidRPr="001F0361">
        <w:rPr>
          <w:rFonts w:cs="TimesET"/>
          <w:sz w:val="24"/>
          <w:szCs w:val="24"/>
        </w:rPr>
        <w:t xml:space="preserve"> Федерального закона от 21 ноября 2011 года № 323-ФЗ «Об основах охраны здоровья граждан в Российской Федерации».»</w:t>
      </w:r>
      <w:r w:rsidR="00C60809">
        <w:rPr>
          <w:rFonts w:cs="TimesET"/>
          <w:sz w:val="24"/>
          <w:szCs w:val="24"/>
        </w:rPr>
        <w:t>.</w:t>
      </w:r>
      <w:proofErr w:type="gramEnd"/>
    </w:p>
    <w:p w:rsidR="000B2487" w:rsidRDefault="000B2487" w:rsidP="000B5733">
      <w:pPr>
        <w:autoSpaceDE w:val="0"/>
        <w:autoSpaceDN w:val="0"/>
        <w:adjustRightInd w:val="0"/>
        <w:spacing w:line="233" w:lineRule="auto"/>
        <w:jc w:val="both"/>
        <w:rPr>
          <w:rFonts w:cs="TimesET"/>
          <w:sz w:val="28"/>
          <w:szCs w:val="28"/>
        </w:rPr>
      </w:pPr>
    </w:p>
    <w:p w:rsidR="000B2487" w:rsidRDefault="000B2487" w:rsidP="000B5733">
      <w:pPr>
        <w:spacing w:line="233" w:lineRule="auto"/>
      </w:pPr>
    </w:p>
    <w:p w:rsidR="000B2487" w:rsidRPr="00190FF9" w:rsidRDefault="000B2487" w:rsidP="000B5733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sectPr w:rsidR="000B2487" w:rsidRPr="00190FF9" w:rsidSect="00190FF9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A7B" w:rsidRDefault="00883A7B">
      <w:r>
        <w:separator/>
      </w:r>
    </w:p>
  </w:endnote>
  <w:endnote w:type="continuationSeparator" w:id="0">
    <w:p w:rsidR="00883A7B" w:rsidRDefault="0088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A7B" w:rsidRDefault="00883A7B">
      <w:r>
        <w:separator/>
      </w:r>
    </w:p>
  </w:footnote>
  <w:footnote w:type="continuationSeparator" w:id="0">
    <w:p w:rsidR="00883A7B" w:rsidRDefault="00883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00639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487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B2487"/>
    <w:rsid w:val="000B5733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83A7B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0639"/>
    <w:rsid w:val="00C04EEB"/>
    <w:rsid w:val="00C075A4"/>
    <w:rsid w:val="00C10F12"/>
    <w:rsid w:val="00C11826"/>
    <w:rsid w:val="00C46D42"/>
    <w:rsid w:val="00C50C32"/>
    <w:rsid w:val="00C60178"/>
    <w:rsid w:val="00C60809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9077DF4DFE47C357766451D2CED116A96A8365D9EB1CA5CACC63EE453B6B724FD7C55D86CC7AE5818E6E7D7C013DF24A9E2966A17F354F1q7UCK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4</cp:revision>
  <cp:lastPrinted>2023-06-15T07:04:00Z</cp:lastPrinted>
  <dcterms:created xsi:type="dcterms:W3CDTF">2023-06-15T06:53:00Z</dcterms:created>
  <dcterms:modified xsi:type="dcterms:W3CDTF">2023-06-21T08:47:00Z</dcterms:modified>
</cp:coreProperties>
</file>