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647E" w:rsidRDefault="00D87CD3">
      <w:pPr>
        <w:keepNext/>
        <w:spacing w:before="0" w:after="0"/>
        <w:ind w:left="5670"/>
        <w:jc w:val="left"/>
      </w:pPr>
      <w:proofErr w:type="gramStart"/>
      <w:r>
        <w:t>Утвержден</w:t>
      </w:r>
      <w:proofErr w:type="gramEnd"/>
      <w:r>
        <w:t xml:space="preserve"> постановлением </w:t>
      </w:r>
    </w:p>
    <w:p w:rsidR="00E0647E" w:rsidRDefault="00D87CD3">
      <w:pPr>
        <w:spacing w:before="0" w:after="0"/>
        <w:ind w:left="5670"/>
        <w:jc w:val="left"/>
      </w:pPr>
      <w:r>
        <w:t xml:space="preserve">главного управления архитектуры </w:t>
      </w:r>
    </w:p>
    <w:p w:rsidR="00E0647E" w:rsidRDefault="00D87CD3">
      <w:pPr>
        <w:spacing w:before="0" w:after="0"/>
        <w:ind w:left="5670"/>
        <w:jc w:val="left"/>
      </w:pPr>
      <w:r>
        <w:t>и градостроительства</w:t>
      </w:r>
    </w:p>
    <w:p w:rsidR="00E0647E" w:rsidRDefault="00D87CD3">
      <w:pPr>
        <w:keepNext/>
        <w:spacing w:before="0" w:after="0"/>
        <w:ind w:left="5670"/>
        <w:jc w:val="left"/>
      </w:pPr>
      <w:r>
        <w:t>Рязанской области</w:t>
      </w:r>
    </w:p>
    <w:p w:rsidR="00E0647E" w:rsidRDefault="00B72661">
      <w:pPr>
        <w:keepNext/>
        <w:tabs>
          <w:tab w:val="left" w:pos="5100"/>
        </w:tabs>
        <w:spacing w:before="0" w:after="0"/>
        <w:ind w:left="5670"/>
        <w:jc w:val="left"/>
      </w:pPr>
      <w:r>
        <w:t>от 28 июня 2023 г.</w:t>
      </w:r>
      <w:r w:rsidR="00D87CD3">
        <w:t xml:space="preserve"> №</w:t>
      </w:r>
      <w:r>
        <w:t xml:space="preserve"> 260-п</w:t>
      </w: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D87CD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E0647E" w:rsidRDefault="00D87CD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Смолеевское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E0647E" w:rsidRDefault="00D87CD3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Ухоловского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E0647E" w:rsidRDefault="00D87CD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D87CD3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E0647E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0647E" w:rsidRDefault="00D87CD3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E0647E" w:rsidRDefault="00E0647E">
      <w:pPr>
        <w:pStyle w:val="a7"/>
        <w:rPr>
          <w:szCs w:val="28"/>
        </w:rPr>
      </w:pPr>
    </w:p>
    <w:p w:rsidR="00E0647E" w:rsidRDefault="00D87CD3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Смолеевское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Ухоловского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енеральным планом планируется размещение объектов местного значения поселения</w:t>
      </w:r>
      <w:r w:rsidR="00D47A86"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,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приведенные в таблице ниже.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2324"/>
        <w:gridCol w:w="2311"/>
        <w:gridCol w:w="2309"/>
      </w:tblGrid>
      <w:tr w:rsidR="00E0647E">
        <w:trPr>
          <w:trHeight w:val="497"/>
          <w:tblHeader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Наименование</w:t>
            </w:r>
          </w:p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объекта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Местоположение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Вид</w:t>
            </w:r>
          </w:p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функциональной</w:t>
            </w:r>
          </w:p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зоны</w:t>
            </w:r>
          </w:p>
        </w:tc>
      </w:tr>
      <w:tr w:rsidR="00E0647E">
        <w:trPr>
          <w:trHeight w:val="56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9"/>
              <w:widowControl w:val="0"/>
              <w:spacing w:after="0"/>
              <w:ind w:left="57" w:right="57"/>
              <w:jc w:val="left"/>
              <w:rPr>
                <w:rFonts w:ascii="Times New Roman" w:hAnsi="Times New Roman"/>
              </w:rPr>
            </w:pPr>
            <w:r>
              <w:rPr>
                <w:rStyle w:val="20"/>
                <w:rFonts w:ascii="Times New Roman" w:hAnsi="Times New Roman"/>
              </w:rPr>
              <w:t xml:space="preserve">Реконструкция здания  МБОУ </w:t>
            </w:r>
            <w:proofErr w:type="spellStart"/>
            <w:r>
              <w:rPr>
                <w:rStyle w:val="20"/>
                <w:rFonts w:ascii="Times New Roman" w:hAnsi="Times New Roman"/>
              </w:rPr>
              <w:t>Смолеевская</w:t>
            </w:r>
            <w:proofErr w:type="spellEnd"/>
            <w:r>
              <w:rPr>
                <w:rStyle w:val="20"/>
                <w:rFonts w:ascii="Times New Roman" w:hAnsi="Times New Roman"/>
              </w:rPr>
              <w:t xml:space="preserve"> основная общеобразовательная школа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Смолеевка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  <w:tr w:rsidR="00E0647E">
        <w:trPr>
          <w:trHeight w:val="565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9"/>
              <w:widowControl w:val="0"/>
              <w:spacing w:after="0"/>
              <w:ind w:left="57" w:right="57"/>
              <w:jc w:val="left"/>
              <w:rPr>
                <w:rFonts w:ascii="Times New Roman" w:hAnsi="Times New Roman"/>
              </w:rPr>
            </w:pPr>
            <w:r>
              <w:rPr>
                <w:rStyle w:val="20"/>
                <w:rFonts w:ascii="Times New Roman" w:hAnsi="Times New Roman"/>
              </w:rPr>
              <w:t xml:space="preserve">Реконструкция здания  МБОУ </w:t>
            </w:r>
            <w:proofErr w:type="spellStart"/>
            <w:r>
              <w:rPr>
                <w:rStyle w:val="20"/>
                <w:rFonts w:ascii="Times New Roman" w:hAnsi="Times New Roman"/>
              </w:rPr>
              <w:t>Смолеевский</w:t>
            </w:r>
            <w:proofErr w:type="spellEnd"/>
            <w:r>
              <w:rPr>
                <w:rStyle w:val="20"/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rPr>
                <w:rStyle w:val="20"/>
              </w:rPr>
              <w:t xml:space="preserve">с. </w:t>
            </w:r>
            <w:proofErr w:type="spellStart"/>
            <w:r>
              <w:rPr>
                <w:rStyle w:val="20"/>
              </w:rPr>
              <w:t>Смолеевка</w:t>
            </w:r>
            <w:proofErr w:type="spellEnd"/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</w:tbl>
    <w:p w:rsidR="00E0647E" w:rsidRDefault="00E0647E">
      <w:pPr>
        <w:pStyle w:val="a7"/>
        <w:rPr>
          <w:rStyle w:val="-"/>
          <w:color w:val="auto"/>
        </w:rPr>
      </w:pPr>
    </w:p>
    <w:p w:rsidR="00E0647E" w:rsidRDefault="00D87CD3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Планируемые объекты местного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значения поселения отображены на карте планируемого размещения объектов местного значения поселения.</w:t>
      </w:r>
    </w:p>
    <w:p w:rsidR="00E0647E" w:rsidRDefault="00E0647E">
      <w:pPr>
        <w:pStyle w:val="a7"/>
        <w:textAlignment w:val="baseline"/>
        <w:rPr>
          <w:color w:val="auto"/>
        </w:rPr>
      </w:pPr>
    </w:p>
    <w:p w:rsidR="00E0647E" w:rsidRDefault="00D87CD3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E0647E" w:rsidRDefault="00E0647E">
      <w:pPr>
        <w:pStyle w:val="a7"/>
        <w:rPr>
          <w:color w:val="auto"/>
          <w:szCs w:val="28"/>
        </w:rPr>
      </w:pPr>
    </w:p>
    <w:p w:rsidR="00E0647E" w:rsidRDefault="00D87CD3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E0647E" w:rsidRDefault="00D87CD3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E0647E" w:rsidRDefault="00D87CD3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>Смолеевское</w:t>
      </w:r>
      <w:proofErr w:type="spellEnd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Ухоловского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E0647E" w:rsidRDefault="00E0647E">
      <w:pPr>
        <w:pStyle w:val="a7"/>
        <w:rPr>
          <w:color w:val="auto"/>
        </w:rPr>
      </w:pPr>
    </w:p>
    <w:p w:rsidR="00E0647E" w:rsidRDefault="00E0647E">
      <w:pPr>
        <w:pStyle w:val="a7"/>
        <w:rPr>
          <w:color w:val="auto"/>
        </w:rPr>
      </w:pPr>
    </w:p>
    <w:p w:rsidR="00E0647E" w:rsidRDefault="00E0647E">
      <w:pPr>
        <w:pStyle w:val="a7"/>
        <w:rPr>
          <w:color w:val="auto"/>
        </w:rPr>
      </w:pPr>
    </w:p>
    <w:p w:rsidR="00E0647E" w:rsidRDefault="00D87CD3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E0647E" w:rsidRDefault="00E0647E">
      <w:pPr>
        <w:pStyle w:val="a7"/>
        <w:rPr>
          <w:color w:val="auto"/>
        </w:rPr>
      </w:pPr>
    </w:p>
    <w:p w:rsidR="00E0647E" w:rsidRDefault="00D87CD3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Смолеевское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Ухоловского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E0647E" w:rsidRDefault="00D87CD3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E0647E" w:rsidRDefault="00D87CD3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E0647E" w:rsidRDefault="00D87CD3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0647E" w:rsidRDefault="00D87CD3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E0647E" w:rsidRDefault="00D87CD3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E0647E" w:rsidRDefault="00D87CD3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0647E" w:rsidRDefault="00D87CD3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Смолеевское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Ухоловского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E0647E">
        <w:trPr>
          <w:trHeight w:val="497"/>
          <w:tblHeader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t>Условное</w:t>
            </w:r>
          </w:p>
          <w:p w:rsidR="00E0647E" w:rsidRDefault="00D87CD3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62865</wp:posOffset>
                      </wp:positionV>
                      <wp:extent cx="678180" cy="304800"/>
                      <wp:effectExtent l="0" t="0" r="0" b="0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5.75pt;margin-top:4.95pt;width:53.3pt;height:23.9pt;v-text-anchor:middle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78180" cy="304800"/>
                      <wp:effectExtent l="0" t="0" r="0" b="0"/>
                      <wp:wrapNone/>
                      <wp:docPr id="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4.9pt;margin-top:4.1pt;width:53.3pt;height:23.9pt;v-text-anchor:middle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78180" cy="304800"/>
                      <wp:effectExtent l="0" t="0" r="0" b="0"/>
                      <wp:wrapNone/>
                      <wp:docPr id="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0" w:after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4.15pt;margin-top:5.2pt;width:53.3pt;height:23.9pt;v-text-anchor:middle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78180" cy="304800"/>
                      <wp:effectExtent l="0" t="0" r="0" b="0"/>
                      <wp:wrapNone/>
                      <wp:docPr id="7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daa66" stroked="t" style="position:absolute;margin-left:33.85pt;margin-top:4.5pt;width:53.3pt;height:23.9pt;v-text-anchor:middle">
                      <w10:wrap type="none"/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78180" cy="304800"/>
                      <wp:effectExtent l="0" t="0" r="0" b="0"/>
                      <wp:wrapNone/>
                      <wp:docPr id="9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1" fillcolor="#c0c000" stroked="t" style="position:absolute;margin-left:33.85pt;margin-top:4.5pt;width:53.3pt;height:23.9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78180" cy="304800"/>
                      <wp:effectExtent l="0" t="0" r="0" b="0"/>
                      <wp:wrapNone/>
                      <wp:docPr id="10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3.85pt;margin-top:4.5pt;width:53.3pt;height:23.9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78180" cy="304800"/>
                      <wp:effectExtent l="0" t="0" r="0" b="0"/>
                      <wp:wrapNone/>
                      <wp:docPr id="13" name="Врезка1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_1" o:spid="_x0000_s1026" style="position:absolute;margin-left:33.85pt;margin-top:4.5pt;width:53.4pt;height:24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" o:allowincell="f" fillcolor="#d0e0b0" stroked="f" strokeweight="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78180" cy="304800"/>
                      <wp:effectExtent l="0" t="0" r="7620" b="0"/>
                      <wp:wrapNone/>
                      <wp:docPr id="14" name="Врезк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9" o:spid="_x0000_s1031" style="position:absolute;left:0;text-align:left;margin-left:33.85pt;margin-top:4.5pt;width:53.4pt;height:24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" o:allowincell="f" filled="f" strokecolor="black [3213]" strokeweight=".5pt">
                      <v:textbox>
                        <w:txbxContent>
                          <w:p w:rsidR="00E0647E" w:rsidRDefault="00E0647E">
                            <w:pPr>
                              <w:pStyle w:val="af4"/>
                              <w:widowControl w:val="0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78180" cy="303530"/>
                      <wp:effectExtent l="0" t="0" r="0" b="0"/>
                      <wp:wrapNone/>
                      <wp:docPr id="16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3.45pt;margin-top:6pt;width:53.3pt;height:23.8pt;v-text-anchor:middle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</wp:posOffset>
                      </wp:positionV>
                      <wp:extent cx="678180" cy="303530"/>
                      <wp:effectExtent l="0" t="0" r="0" b="0"/>
                      <wp:wrapNone/>
                      <wp:docPr id="18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t" style="position:absolute;margin-left:32.85pt;margin-top:5.9pt;width:53.3pt;height:23.8pt;v-text-anchor:middle">
                      <w10:wrap type="none"/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E0647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7550" cy="349885"/>
                      <wp:effectExtent l="0" t="0" r="0" b="0"/>
                      <wp:wrapNone/>
                      <wp:docPr id="2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760" cy="349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0647E" w:rsidRDefault="00E0647E">
                                  <w:pPr>
                                    <w:pStyle w:val="af4"/>
                                    <w:widowControl w:val="0"/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6.4pt;height:27.4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E0647E" w:rsidRDefault="00E0647E">
      <w:pPr>
        <w:pStyle w:val="a7"/>
        <w:rPr>
          <w:color w:val="auto"/>
          <w:szCs w:val="28"/>
          <w:lang w:eastAsia="ar-SA"/>
        </w:rPr>
      </w:pPr>
    </w:p>
    <w:p w:rsidR="00E0647E" w:rsidRDefault="00D87CD3">
      <w:pPr>
        <w:pStyle w:val="a7"/>
      </w:pPr>
      <w:r>
        <w:rPr>
          <w:color w:val="auto"/>
          <w:szCs w:val="28"/>
          <w:lang w:eastAsia="ar-SA"/>
        </w:rPr>
        <w:t xml:space="preserve">Границы и обозначение функциональных зон </w:t>
      </w:r>
      <w:r>
        <w:rPr>
          <w:color w:val="auto"/>
          <w:szCs w:val="28"/>
        </w:rPr>
        <w:t xml:space="preserve">отображены на </w:t>
      </w:r>
      <w:r>
        <w:rPr>
          <w:rFonts w:eastAsia="Calibri"/>
          <w:color w:val="auto"/>
          <w:szCs w:val="28"/>
        </w:rPr>
        <w:t>к</w:t>
      </w:r>
      <w:r>
        <w:rPr>
          <w:color w:val="auto"/>
          <w:szCs w:val="28"/>
        </w:rPr>
        <w:t>арте функциональных зон.</w:t>
      </w:r>
    </w:p>
    <w:p w:rsidR="00E0647E" w:rsidRDefault="00D87CD3">
      <w:pPr>
        <w:numPr>
          <w:ilvl w:val="0"/>
          <w:numId w:val="2"/>
        </w:numPr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торговли, а также необходимых объектов инженерной и транспортной инфраструктуры.</w:t>
      </w:r>
    </w:p>
    <w:p w:rsidR="00E0647E" w:rsidRDefault="00D87CD3">
      <w:pPr>
        <w:pStyle w:val="a7"/>
        <w:numPr>
          <w:ilvl w:val="0"/>
          <w:numId w:val="2"/>
        </w:numPr>
        <w:ind w:firstLine="567"/>
      </w:pPr>
      <w:r>
        <w:t xml:space="preserve">Зона транспортной инфраструктуры предназначена для размещения объектов автомобильного </w:t>
      </w:r>
      <w:r>
        <w:rPr>
          <w:kern w:val="2"/>
          <w:szCs w:val="28"/>
          <w:shd w:val="clear" w:color="auto" w:fill="FFFFFF"/>
        </w:rPr>
        <w:t>и железнодорожного транспорта</w:t>
      </w:r>
      <w:r>
        <w:t>, объектов дорожного сервиса.</w:t>
      </w:r>
    </w:p>
    <w:p w:rsidR="00E0647E" w:rsidRDefault="00D87CD3">
      <w:pPr>
        <w:pStyle w:val="a7"/>
        <w:rPr>
          <w:szCs w:val="28"/>
        </w:rPr>
      </w:pPr>
      <w:r>
        <w:rPr>
          <w:szCs w:val="28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E0647E" w:rsidRDefault="00D87CD3">
      <w:pPr>
        <w:spacing w:before="0" w:after="0"/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Иные зоны сельскохозяйственного назначения предназначены для </w:t>
      </w:r>
      <w:r>
        <w:rPr>
          <w:rFonts w:eastAsia="Calibri"/>
          <w:sz w:val="28"/>
          <w:szCs w:val="28"/>
        </w:rPr>
        <w:t xml:space="preserve">осуществления в границах населенного пункта хозяйственной деятельности, связанной с выращиванием продукции сельскохозяйственного </w:t>
      </w:r>
      <w:proofErr w:type="gramStart"/>
      <w:r>
        <w:rPr>
          <w:rFonts w:eastAsia="Calibri"/>
          <w:sz w:val="28"/>
          <w:szCs w:val="28"/>
        </w:rPr>
        <w:t>производства</w:t>
      </w:r>
      <w:proofErr w:type="gramEnd"/>
      <w:r>
        <w:rPr>
          <w:rFonts w:eastAsia="Calibri"/>
          <w:sz w:val="28"/>
          <w:szCs w:val="28"/>
        </w:rPr>
        <w:t xml:space="preserve"> как для собственных нужд</w:t>
      </w:r>
      <w:r>
        <w:rPr>
          <w:sz w:val="28"/>
          <w:szCs w:val="28"/>
          <w:lang w:eastAsia="ar-SA"/>
        </w:rPr>
        <w:t>, так и в предпринимательских целях.</w:t>
      </w:r>
    </w:p>
    <w:p w:rsidR="00E0647E" w:rsidRDefault="00D87CD3">
      <w:pPr>
        <w:pStyle w:val="a7"/>
        <w:rPr>
          <w:szCs w:val="28"/>
        </w:rPr>
      </w:pPr>
      <w:r>
        <w:rPr>
          <w:szCs w:val="28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для которых необходима организация санитарно-защитной зоны в соответствии</w:t>
      </w:r>
      <w:r>
        <w:rPr>
          <w:szCs w:val="28"/>
        </w:rPr>
        <w:br/>
        <w:t>с требованиями технических регламентов.</w:t>
      </w:r>
    </w:p>
    <w:p w:rsidR="00E0647E" w:rsidRDefault="00D87CD3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имеют приоритет в использовании и подлежат особой охране.</w:t>
      </w:r>
    </w:p>
    <w:p w:rsidR="00E0647E" w:rsidRDefault="00D87CD3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E0647E" w:rsidRDefault="00D87CD3">
      <w:pPr>
        <w:pStyle w:val="a7"/>
      </w:pPr>
      <w:r>
        <w:rPr>
          <w:rStyle w:val="20"/>
          <w:color w:val="auto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</w:t>
      </w:r>
      <w:r w:rsidR="00BB4977">
        <w:rPr>
          <w:rStyle w:val="20"/>
          <w:color w:val="auto"/>
          <w:szCs w:val="28"/>
          <w:lang w:eastAsia="ru-RU"/>
        </w:rPr>
        <w:t xml:space="preserve"> санитарно-гигиенические функции</w:t>
      </w:r>
      <w:bookmarkStart w:id="0" w:name="_GoBack"/>
      <w:bookmarkEnd w:id="0"/>
      <w:r>
        <w:rPr>
          <w:rStyle w:val="20"/>
          <w:color w:val="auto"/>
          <w:szCs w:val="28"/>
          <w:lang w:eastAsia="ru-RU"/>
        </w:rPr>
        <w:t>.</w:t>
      </w:r>
    </w:p>
    <w:p w:rsidR="00E0647E" w:rsidRDefault="00D87CD3">
      <w:pPr>
        <w:pStyle w:val="a7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E0647E" w:rsidRDefault="00E0647E">
      <w:pPr>
        <w:spacing w:before="0" w:after="0"/>
        <w:ind w:firstLine="567"/>
        <w:jc w:val="both"/>
        <w:rPr>
          <w:sz w:val="28"/>
          <w:szCs w:val="28"/>
        </w:rPr>
      </w:pPr>
    </w:p>
    <w:p w:rsidR="00E0647E" w:rsidRDefault="00D87CD3">
      <w:pPr>
        <w:pStyle w:val="a7"/>
      </w:pPr>
      <w:r>
        <w:rPr>
          <w:szCs w:val="28"/>
          <w:lang w:eastAsia="ar-SA"/>
        </w:rPr>
        <w:lastRenderedPageBreak/>
        <w:t xml:space="preserve">В генеральном плане муниципального образования – </w:t>
      </w:r>
      <w:proofErr w:type="spellStart"/>
      <w:r>
        <w:rPr>
          <w:szCs w:val="28"/>
        </w:rPr>
        <w:t>Смолеевское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Ухоловского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5025"/>
        <w:gridCol w:w="1430"/>
        <w:gridCol w:w="1432"/>
        <w:gridCol w:w="1430"/>
      </w:tblGrid>
      <w:tr w:rsidR="00E0647E">
        <w:trPr>
          <w:trHeight w:val="675"/>
          <w:tblHeader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E0647E" w:rsidRDefault="00D87CD3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suppressAutoHyphens w:val="0"/>
            </w:pPr>
            <w:r>
              <w:rPr>
                <w:kern w:val="2"/>
              </w:rPr>
              <w:t>Максимал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ный к</w:t>
            </w:r>
            <w:r>
              <w:t>оэфф</w:t>
            </w:r>
            <w:r>
              <w:t>и</w:t>
            </w:r>
            <w:r>
              <w:t>циент з</w:t>
            </w:r>
            <w:r>
              <w:t>а</w:t>
            </w:r>
            <w:r>
              <w:t>стройки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647E" w:rsidRDefault="00D87CD3">
            <w:pPr>
              <w:pStyle w:val="ae"/>
              <w:widowControl w:val="0"/>
              <w:suppressAutoHyphens w:val="0"/>
            </w:pPr>
            <w:r>
              <w:t>Максимал</w:t>
            </w:r>
            <w:r>
              <w:t>ь</w:t>
            </w:r>
            <w:r>
              <w:t>ная эта</w:t>
            </w:r>
            <w:r>
              <w:t>ж</w:t>
            </w:r>
            <w:r>
              <w:t>ность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1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975,78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kern w:val="2"/>
              </w:rPr>
            </w:pPr>
            <w:r>
              <w:rPr>
                <w:kern w:val="2"/>
              </w:rPr>
              <w:t>0,6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kern w:val="2"/>
              </w:rPr>
            </w:pPr>
            <w:r>
              <w:rPr>
                <w:kern w:val="2"/>
              </w:rPr>
              <w:t>4*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2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435,49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3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17883,96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164,81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5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69,51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6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widowControl w:val="0"/>
              <w:spacing w:before="0" w:after="0"/>
              <w:ind w:left="57"/>
              <w:contextualSpacing/>
              <w:jc w:val="both"/>
            </w:pPr>
            <w:r>
              <w:t>Зона сельскохозяйственных угодий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304,00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7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205,02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widowControl w:val="0"/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8,68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</w:pPr>
            <w:r>
              <w:t>9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3,79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0647E">
        <w:trPr>
          <w:trHeight w:val="683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647E" w:rsidRDefault="00D87CD3">
            <w:pPr>
              <w:pStyle w:val="a7"/>
              <w:widowControl w:val="0"/>
              <w:suppressLineNumbers/>
              <w:ind w:firstLine="0"/>
              <w:contextualSpacing/>
              <w:jc w:val="left"/>
            </w:pPr>
            <w:r>
              <w:rPr>
                <w:kern w:val="2"/>
                <w:sz w:val="24"/>
              </w:rPr>
              <w:t>*Максимальная этажность в функциональной зоне «Жилые зоны» определена для застройки жилыми домами</w:t>
            </w:r>
          </w:p>
        </w:tc>
      </w:tr>
    </w:tbl>
    <w:p w:rsidR="00E0647E" w:rsidRDefault="00E0647E">
      <w:pPr>
        <w:pStyle w:val="a7"/>
        <w:suppressLineNumbers/>
        <w:contextualSpacing/>
        <w:rPr>
          <w:szCs w:val="28"/>
        </w:rPr>
      </w:pPr>
    </w:p>
    <w:p w:rsidR="00E0647E" w:rsidRDefault="00D87CD3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E0647E" w:rsidRDefault="00E0647E">
      <w:pPr>
        <w:pStyle w:val="a7"/>
        <w:rPr>
          <w:rStyle w:val="-"/>
          <w:color w:val="auto"/>
        </w:rPr>
      </w:pPr>
    </w:p>
    <w:p w:rsidR="00E0647E" w:rsidRDefault="00D87CD3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Согласно приложению к распоряжению Правительства Рязанской области от 15.12.2020 № 592-р «Региональная программа «Модернизация первичного звена здравоохранения» на 2021-2025 годы» 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Смолеевское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Ухоловского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Рязанской области планируется строительство ФАП регионального значения.</w:t>
      </w:r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3066"/>
        <w:gridCol w:w="1534"/>
        <w:gridCol w:w="1083"/>
        <w:gridCol w:w="2150"/>
        <w:gridCol w:w="1470"/>
      </w:tblGrid>
      <w:tr w:rsidR="00E0647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47E" w:rsidRDefault="00D87CD3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E0647E" w:rsidRDefault="00D87CD3">
            <w:pPr>
              <w:pStyle w:val="ae"/>
              <w:widowControl w:val="0"/>
              <w:spacing w:before="113" w:after="113"/>
              <w:ind w:left="-113" w:firstLine="113"/>
              <w:contextualSpacing/>
              <w:rPr>
                <w:lang w:val="en-US"/>
              </w:rPr>
            </w:pPr>
            <w:proofErr w:type="gramStart"/>
            <w:r>
              <w:rPr>
                <w:shd w:val="clear" w:color="auto" w:fill="FFFFFF"/>
                <w:lang w:eastAsia="en-US" w:bidi="ru-RU"/>
              </w:rPr>
              <w:t>п</w:t>
            </w:r>
            <w:proofErr w:type="gramEnd"/>
            <w:r>
              <w:rPr>
                <w:shd w:val="clear" w:color="auto" w:fill="FFFFFF"/>
                <w:lang w:eastAsia="en-US" w:bidi="ru-RU"/>
              </w:rPr>
              <w:t>/п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E" w:rsidRDefault="00D87CD3">
            <w:pPr>
              <w:pStyle w:val="TableParagraph"/>
              <w:widowControl w:val="0"/>
              <w:spacing w:before="113" w:after="113"/>
              <w:ind w:left="-113"/>
              <w:contextualSpacing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Наименование</w:t>
            </w:r>
          </w:p>
          <w:p w:rsidR="00E0647E" w:rsidRDefault="00D87CD3">
            <w:pPr>
              <w:pStyle w:val="TableParagraph"/>
              <w:widowControl w:val="0"/>
              <w:spacing w:before="113" w:after="113"/>
              <w:ind w:left="-113"/>
              <w:contextualSpacing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объекта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47E" w:rsidRDefault="00D87CD3">
            <w:pPr>
              <w:pStyle w:val="TableParagraph"/>
              <w:widowControl w:val="0"/>
              <w:suppressAutoHyphens w:val="0"/>
              <w:spacing w:before="113" w:after="113"/>
              <w:ind w:left="-57"/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47E" w:rsidRDefault="00D87CD3">
            <w:pPr>
              <w:pStyle w:val="TableParagraph"/>
              <w:widowControl w:val="0"/>
              <w:suppressAutoHyphens w:val="0"/>
              <w:spacing w:before="113" w:after="113"/>
              <w:ind w:left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Год п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стройки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47E" w:rsidRDefault="00D87CD3">
            <w:pPr>
              <w:pStyle w:val="TableParagraph"/>
              <w:widowControl w:val="0"/>
              <w:suppressAutoHyphens w:val="0"/>
              <w:spacing w:before="113" w:after="11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Кадастровый 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мер земельного участка, площадь 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E" w:rsidRDefault="00D87CD3">
            <w:pPr>
              <w:pStyle w:val="ae"/>
              <w:widowControl w:val="0"/>
              <w:suppressAutoHyphens w:val="0"/>
            </w:pPr>
            <w:r>
              <w:t>Вид</w:t>
            </w:r>
          </w:p>
          <w:p w:rsidR="00E0647E" w:rsidRDefault="00D87CD3">
            <w:pPr>
              <w:pStyle w:val="ae"/>
              <w:widowControl w:val="0"/>
              <w:suppressAutoHyphens w:val="0"/>
            </w:pPr>
            <w:r>
              <w:t>функци</w:t>
            </w:r>
            <w:r>
              <w:t>о</w:t>
            </w:r>
            <w:r>
              <w:t>нальной</w:t>
            </w:r>
          </w:p>
          <w:p w:rsidR="00E0647E" w:rsidRDefault="00D87CD3">
            <w:pPr>
              <w:pStyle w:val="ae"/>
              <w:widowControl w:val="0"/>
              <w:suppressAutoHyphens w:val="0"/>
            </w:pPr>
            <w:r>
              <w:t>зоны</w:t>
            </w:r>
          </w:p>
        </w:tc>
      </w:tr>
      <w:tr w:rsidR="00E0647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7E" w:rsidRDefault="00D87CD3">
            <w:pPr>
              <w:pStyle w:val="afa"/>
              <w:widowControl w:val="0"/>
              <w:spacing w:before="57" w:after="57"/>
              <w:ind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7E" w:rsidRDefault="00D87CD3">
            <w:pPr>
              <w:pStyle w:val="ConsPlusNormal"/>
              <w:spacing w:before="57" w:after="57"/>
              <w:ind w:hanging="57"/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Строительство объекта "Фельдшерско-акушерский пункт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Смолеевка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Ухоловского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района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Рязанской области"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7E" w:rsidRDefault="00D87CD3">
            <w:pPr>
              <w:widowControl w:val="0"/>
              <w:spacing w:before="57" w:after="57"/>
              <w:ind w:hanging="57"/>
            </w:pPr>
            <w:r>
              <w:rPr>
                <w:lang w:eastAsia="en-US" w:bidi="hi-IN"/>
              </w:rPr>
              <w:lastRenderedPageBreak/>
              <w:t xml:space="preserve">с. </w:t>
            </w:r>
            <w:proofErr w:type="spellStart"/>
            <w:r>
              <w:rPr>
                <w:lang w:eastAsia="en-US" w:bidi="hi-IN"/>
              </w:rPr>
              <w:t>Смолеевка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7E" w:rsidRDefault="00D87CD3">
            <w:pPr>
              <w:widowControl w:val="0"/>
              <w:spacing w:before="57" w:after="57"/>
              <w:ind w:left="43" w:right="5" w:firstLine="19"/>
            </w:pPr>
            <w:r>
              <w:rPr>
                <w:lang w:eastAsia="en-US"/>
              </w:rPr>
              <w:t>2024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7E" w:rsidRDefault="00D87CD3">
            <w:pPr>
              <w:widowControl w:val="0"/>
              <w:spacing w:before="57" w:after="57"/>
              <w:ind w:left="-57"/>
            </w:pPr>
            <w:r>
              <w:rPr>
                <w:rFonts w:eastAsia="Calibri"/>
                <w:color w:val="auto"/>
                <w:lang w:eastAsia="en-US"/>
              </w:rPr>
              <w:t>62:22:0040203:529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E" w:rsidRDefault="00D87CD3">
            <w:pPr>
              <w:pStyle w:val="ae"/>
              <w:widowControl w:val="0"/>
              <w:spacing w:before="57" w:after="57"/>
              <w:ind w:left="-57"/>
            </w:pPr>
            <w:r>
              <w:t>Жилые зоны</w:t>
            </w:r>
          </w:p>
        </w:tc>
      </w:tr>
    </w:tbl>
    <w:p w:rsidR="00E0647E" w:rsidRDefault="00D87CD3">
      <w:pPr>
        <w:tabs>
          <w:tab w:val="left" w:pos="882"/>
          <w:tab w:val="left" w:leader="dot" w:pos="9482"/>
        </w:tabs>
        <w:spacing w:before="0" w:after="0"/>
        <w:ind w:firstLine="567"/>
        <w:jc w:val="both"/>
      </w:pPr>
      <w:proofErr w:type="gramStart"/>
      <w:r>
        <w:rPr>
          <w:rStyle w:val="20"/>
          <w:iCs/>
          <w:sz w:val="28"/>
          <w:szCs w:val="28"/>
        </w:rPr>
        <w:lastRenderedPageBreak/>
        <w:t xml:space="preserve">Сведения о планируемых для размещения в функциональных зонах объектов регионального значения отображены на карте </w:t>
      </w:r>
      <w:r>
        <w:rPr>
          <w:rStyle w:val="-"/>
          <w:rFonts w:eastAsia="MS Mincho;ＭＳ 明朝"/>
          <w:bCs/>
          <w:iCs/>
          <w:color w:val="000000"/>
          <w:sz w:val="28"/>
          <w:szCs w:val="28"/>
          <w:u w:val="none"/>
          <w:lang w:eastAsia="en-US"/>
        </w:rPr>
        <w:t>планируемого размещения объектов местного значения поселения.</w:t>
      </w:r>
      <w:proofErr w:type="gramEnd"/>
    </w:p>
    <w:p w:rsidR="00E0647E" w:rsidRDefault="00D87CD3">
      <w:pPr>
        <w:widowControl w:val="0"/>
        <w:tabs>
          <w:tab w:val="left" w:pos="882"/>
          <w:tab w:val="left" w:leader="dot" w:pos="9482"/>
        </w:tabs>
        <w:spacing w:before="0" w:after="0"/>
        <w:ind w:firstLine="567"/>
        <w:jc w:val="both"/>
      </w:pPr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На территории муниципального образования – </w:t>
      </w:r>
      <w:proofErr w:type="spellStart"/>
      <w:r>
        <w:rPr>
          <w:rStyle w:val="-"/>
          <w:iCs/>
          <w:color w:val="000000"/>
          <w:sz w:val="28"/>
          <w:szCs w:val="28"/>
          <w:u w:val="none"/>
          <w:lang w:eastAsia="ar-SA"/>
        </w:rPr>
        <w:t>Смолеевское</w:t>
      </w:r>
      <w:proofErr w:type="spellEnd"/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iCs/>
          <w:color w:val="000000"/>
          <w:sz w:val="28"/>
          <w:szCs w:val="28"/>
          <w:u w:val="none"/>
          <w:lang w:eastAsia="ar-SA"/>
        </w:rPr>
        <w:t>Ухоловского</w:t>
      </w:r>
      <w:proofErr w:type="spellEnd"/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 муниципального  района Рязанской области не планируется размещение объектов федерального значения, объектов местного значения муниципального района.</w:t>
      </w:r>
    </w:p>
    <w:p w:rsidR="00E0647E" w:rsidRDefault="00E0647E">
      <w:pPr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sectPr w:rsidR="00E064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7F" w:rsidRDefault="00EF3D7F">
      <w:pPr>
        <w:spacing w:before="0" w:after="0"/>
      </w:pPr>
      <w:r>
        <w:separator/>
      </w:r>
    </w:p>
  </w:endnote>
  <w:endnote w:type="continuationSeparator" w:id="0">
    <w:p w:rsidR="00EF3D7F" w:rsidRDefault="00EF3D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E" w:rsidRDefault="00E0647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E" w:rsidRDefault="00E064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7F" w:rsidRDefault="00EF3D7F">
      <w:pPr>
        <w:spacing w:before="0" w:after="0"/>
      </w:pPr>
      <w:r>
        <w:separator/>
      </w:r>
    </w:p>
  </w:footnote>
  <w:footnote w:type="continuationSeparator" w:id="0">
    <w:p w:rsidR="00EF3D7F" w:rsidRDefault="00EF3D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E" w:rsidRDefault="00D87CD3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BB4977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E" w:rsidRDefault="00E0647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1921"/>
    <w:multiLevelType w:val="multilevel"/>
    <w:tmpl w:val="6270E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A26E74"/>
    <w:multiLevelType w:val="multilevel"/>
    <w:tmpl w:val="5058C3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47E"/>
    <w:rsid w:val="00193605"/>
    <w:rsid w:val="00B72661"/>
    <w:rsid w:val="00B85858"/>
    <w:rsid w:val="00BB4977"/>
    <w:rsid w:val="00D47A86"/>
    <w:rsid w:val="00D55ECA"/>
    <w:rsid w:val="00D87CD3"/>
    <w:rsid w:val="00E0647E"/>
    <w:rsid w:val="00E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133</cp:revision>
  <dcterms:created xsi:type="dcterms:W3CDTF">2023-06-27T06:38:00Z</dcterms:created>
  <dcterms:modified xsi:type="dcterms:W3CDTF">2023-06-28T13:33:00Z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