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ия —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Ибредское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26.06.2023: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Ибредь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дома культуры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Сасыкино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:30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Ибредское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:30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LibreOffice/6.4.4.2$Linux_X86_64 LibreOffice_project/40$Build-2</Application>
  <Pages>2</Pages>
  <Words>681</Words>
  <Characters>5061</Characters>
  <CharactersWithSpaces>5754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2023-06-09T16:06:16Z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