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.2023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Сбоева М.А., Новиковой И.В., Новикова А.А., Майбаума К.Э., Кравцова Д.Г., Савушкина А.А., Купцовой Л.В., администрации муниципального образования — Рязанский муниципальный район Рязанской области.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Рязанский район, с. Дубровичи, ул. Молодежная,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Адрес размещения основной экспозиции: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Рязанский район,</w:t>
        <w:br/>
        <w:t>с. Дубровичи, ул. Молодежная, д. 1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 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21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07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.202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3</w:t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по адресу: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en-US" w:eastAsia="zh-CN" w:bidi="ar-SA"/>
        </w:rPr>
        <w:t>Рязанский район, с. Дубровичи, ул. Молодежная,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с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10:00 до 10:20.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1077</TotalTime>
  <Application>LibreOffice/6.4.4.2$Linux_X86_64 LibreOffice_project/40$Build-2</Application>
  <Pages>2</Pages>
  <Words>636</Words>
  <Characters>4834</Characters>
  <CharactersWithSpaces>5490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2023-05-17T10:21:47Z</cp:lastPrinted>
  <dcterms:modified xsi:type="dcterms:W3CDTF">2023-07-12T16:20:29Z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