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F5" w:rsidRDefault="00D555B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1F5" w:rsidRDefault="00D555B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451F5" w:rsidRDefault="00D555B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451F5" w:rsidRDefault="00F451F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451F5" w:rsidRDefault="00F451F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451F5" w:rsidRDefault="00D555B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451F5" w:rsidRDefault="00F451F5">
      <w:pPr>
        <w:tabs>
          <w:tab w:val="left" w:pos="709"/>
        </w:tabs>
        <w:jc w:val="center"/>
        <w:rPr>
          <w:sz w:val="28"/>
        </w:rPr>
      </w:pPr>
    </w:p>
    <w:p w:rsidR="00F451F5" w:rsidRDefault="00F451F5">
      <w:pPr>
        <w:tabs>
          <w:tab w:val="left" w:pos="709"/>
        </w:tabs>
        <w:jc w:val="center"/>
        <w:rPr>
          <w:sz w:val="28"/>
        </w:rPr>
      </w:pPr>
    </w:p>
    <w:p w:rsidR="00F451F5" w:rsidRDefault="0030224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D555B1">
        <w:rPr>
          <w:sz w:val="28"/>
        </w:rPr>
        <w:t xml:space="preserve">2023 г.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D555B1">
        <w:rPr>
          <w:sz w:val="28"/>
        </w:rPr>
        <w:t xml:space="preserve">                                                            № </w:t>
      </w:r>
      <w:r>
        <w:rPr>
          <w:sz w:val="28"/>
        </w:rPr>
        <w:t>310-п</w:t>
      </w:r>
    </w:p>
    <w:p w:rsidR="00F451F5" w:rsidRDefault="00F451F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451F5">
        <w:trPr>
          <w:trHeight w:val="1515"/>
        </w:trPr>
        <w:tc>
          <w:tcPr>
            <w:tcW w:w="9929" w:type="dxa"/>
          </w:tcPr>
          <w:p w:rsidR="00F451F5" w:rsidRDefault="00F451F5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F451F5" w:rsidRDefault="00D555B1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F451F5" w:rsidRDefault="00D555B1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Рязанского муниципального района Рязанской области</w:t>
            </w:r>
          </w:p>
        </w:tc>
      </w:tr>
      <w:tr w:rsidR="00F451F5">
        <w:tc>
          <w:tcPr>
            <w:tcW w:w="9929" w:type="dxa"/>
          </w:tcPr>
          <w:p w:rsidR="00F451F5" w:rsidRDefault="00D555B1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04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.07.2023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color w:val="auto"/>
                <w:sz w:val="28"/>
                <w:szCs w:val="28"/>
                <w:highlight w:val="white"/>
              </w:rPr>
              <w:t>Рязанского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</w:t>
            </w:r>
            <w:r>
              <w:rPr>
                <w:sz w:val="28"/>
                <w:highlight w:val="white"/>
              </w:rPr>
              <w:t>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изменение в часть 11.2 </w:t>
            </w:r>
            <w:r>
              <w:rPr>
                <w:rFonts w:ascii="Times New Roman" w:hAnsi="Times New Roman"/>
                <w:sz w:val="28"/>
                <w:szCs w:val="27"/>
              </w:rPr>
              <w:t>стать</w:t>
            </w:r>
            <w:r>
              <w:rPr>
                <w:rFonts w:ascii="Times New Roman" w:hAnsi="Times New Roman"/>
                <w:sz w:val="28"/>
                <w:szCs w:val="27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11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.07.2022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370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 xml:space="preserve">«Об утверждении правил землепользования и застройки муниципального образования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Подвязьевское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» (в редакции постановления Главархитектуры Рязанской области от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16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.12.2022 №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773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-п),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перечень видов разрешенного использования территориальной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зоны «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>Зона застройк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>и малоэтажными жилыми домами (до 4 этажей, включая мансардный) (1.2)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»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условно разрешенн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ым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видом использования «</w:t>
            </w:r>
            <w:r>
              <w:rPr>
                <w:rStyle w:val="50"/>
                <w:rFonts w:eastAsia="PT Astra Serif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Для индивидуального жилищного строительства (2.1)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»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 </w:t>
            </w:r>
            <w:r>
              <w:rPr>
                <w:rStyle w:val="50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и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установ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ив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 w:bidi="ar-SA"/>
              </w:rPr>
              <w:t xml:space="preserve">для данного вида разрешенного </w:t>
            </w:r>
            <w:proofErr w:type="gramStart"/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 w:bidi="ar-SA"/>
              </w:rPr>
              <w:t>использования</w:t>
            </w:r>
            <w:proofErr w:type="gramEnd"/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lastRenderedPageBreak/>
              <w:t>следующие предельны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(минимальны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и (или) максимальны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) размер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ы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земельных участков и предельны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е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параметр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ы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разрешенного строительства, реконструкции объектов капитального строительства: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1) 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минимальный размер земельного участка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– 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10 м (минимальная ширина участка вдоль фронта улицы)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;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2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) 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м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аксимальный размер земельного участка – 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1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00 м (максимальная длина участка);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3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) 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>м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>инимальная площадь земельного участка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 – 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>300 кв. м;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4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) максимальная площадь земельного участка – 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>2500 кв. м;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5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) м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>инимальные отступы от границ земельных участков в целях определе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>ния мест допустимого размещения зданий, строений, сооружений,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br/>
              <w:t>за пределами которых запрещено строительство зданий, строений,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br/>
              <w:t xml:space="preserve">сооружений 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 xml:space="preserve">– 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>3</w:t>
            </w:r>
            <w:r>
              <w:rPr>
                <w:rStyle w:val="50"/>
                <w:spacing w:val="0"/>
                <w:sz w:val="28"/>
                <w:szCs w:val="20"/>
                <w:highlight w:val="white"/>
                <w:u w:val="none"/>
                <w:lang w:eastAsia="ru-RU" w:bidi="ar-SA"/>
              </w:rPr>
              <w:t xml:space="preserve"> м.</w:t>
            </w:r>
          </w:p>
          <w:p w:rsidR="00F451F5" w:rsidRDefault="00D555B1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3. Государственному казенному </w:t>
            </w:r>
            <w:r>
              <w:rPr>
                <w:rFonts w:ascii="Times New Roman" w:hAnsi="Times New Roman"/>
                <w:sz w:val="28"/>
              </w:rPr>
              <w:t>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</w:t>
            </w:r>
            <w:r>
              <w:rPr>
                <w:rFonts w:ascii="Times New Roman" w:hAnsi="Times New Roman"/>
                <w:sz w:val="28"/>
              </w:rPr>
              <w:t>йской Федерации;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кадровой работы и делопроизводства обеспечить:</w:t>
            </w:r>
          </w:p>
          <w:p w:rsidR="00F451F5" w:rsidRDefault="00D555B1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домости» (www.rv-ryazan.ru) и на официальном интернет-портале правовой информации (www.pravo.gov.ru).</w:t>
            </w:r>
            <w:proofErr w:type="gramEnd"/>
          </w:p>
          <w:p w:rsidR="00F451F5" w:rsidRDefault="00D555B1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</w:t>
            </w:r>
            <w:r>
              <w:rPr>
                <w:rFonts w:ascii="Times New Roman" w:hAnsi="Times New Roman"/>
                <w:sz w:val="28"/>
              </w:rPr>
              <w:t>ры и градостроительства Рязанской области                  в сети «Интернет».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lastRenderedPageBreak/>
              <w:t>Подвязьевское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F451F5" w:rsidRDefault="00D555B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F451F5" w:rsidRDefault="00F451F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F451F5" w:rsidRDefault="00F451F5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F451F5">
        <w:tc>
          <w:tcPr>
            <w:tcW w:w="9929" w:type="dxa"/>
          </w:tcPr>
          <w:p w:rsidR="00F451F5" w:rsidRDefault="00D555B1">
            <w:pPr>
              <w:widowControl w:val="0"/>
              <w:tabs>
                <w:tab w:val="left" w:pos="709"/>
              </w:tabs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451F5" w:rsidRDefault="00F451F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451F5" w:rsidRDefault="00F451F5">
      <w:pPr>
        <w:tabs>
          <w:tab w:val="left" w:pos="709"/>
        </w:tabs>
        <w:jc w:val="both"/>
      </w:pPr>
    </w:p>
    <w:p w:rsidR="00F451F5" w:rsidRDefault="00F451F5">
      <w:pPr>
        <w:jc w:val="center"/>
        <w:rPr>
          <w:rFonts w:eastAsia="Times New Roman" w:cs="Times New Roman"/>
          <w:sz w:val="28"/>
          <w:szCs w:val="25"/>
        </w:rPr>
      </w:pPr>
    </w:p>
    <w:p w:rsidR="00F451F5" w:rsidRDefault="00F451F5">
      <w:pPr>
        <w:tabs>
          <w:tab w:val="left" w:pos="709"/>
        </w:tabs>
        <w:jc w:val="center"/>
        <w:rPr>
          <w:rFonts w:eastAsia="Times New Roman" w:cs="Times New Roman"/>
          <w:sz w:val="28"/>
          <w:szCs w:val="25"/>
        </w:rPr>
      </w:pPr>
    </w:p>
    <w:p w:rsidR="00F451F5" w:rsidRDefault="00D555B1">
      <w:pPr>
        <w:widowControl w:val="0"/>
        <w:jc w:val="right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sectPr w:rsidR="00F451F5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B1" w:rsidRDefault="00D555B1">
      <w:r>
        <w:separator/>
      </w:r>
    </w:p>
  </w:endnote>
  <w:endnote w:type="continuationSeparator" w:id="0">
    <w:p w:rsidR="00D555B1" w:rsidRDefault="00D5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B1" w:rsidRDefault="00D555B1">
      <w:r>
        <w:separator/>
      </w:r>
    </w:p>
  </w:footnote>
  <w:footnote w:type="continuationSeparator" w:id="0">
    <w:p w:rsidR="00D555B1" w:rsidRDefault="00D55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5" w:rsidRDefault="00D555B1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302249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F451F5" w:rsidRDefault="00F451F5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F5"/>
    <w:rsid w:val="00302249"/>
    <w:rsid w:val="00D555B1"/>
    <w:rsid w:val="00F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150</cp:revision>
  <cp:lastPrinted>2023-07-17T09:36:00Z</cp:lastPrinted>
  <dcterms:created xsi:type="dcterms:W3CDTF">2022-08-23T14:35:00Z</dcterms:created>
  <dcterms:modified xsi:type="dcterms:W3CDTF">2023-07-17T09:19:00Z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