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2DBB" w:rsidRDefault="004D6FD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DBB" w:rsidRDefault="004D6FD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D2DBB" w:rsidRDefault="004D6FD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D2DBB" w:rsidRDefault="004D2DB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D2DBB" w:rsidRDefault="004D2DB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D2DBB" w:rsidRDefault="004D6FD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D2DBB" w:rsidRDefault="004D2DB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D2DBB" w:rsidRDefault="004D2DB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D2DBB" w:rsidRDefault="00CA7BEF">
      <w:pPr>
        <w:tabs>
          <w:tab w:val="left" w:pos="709"/>
        </w:tabs>
      </w:pPr>
      <w:r>
        <w:rPr>
          <w:sz w:val="28"/>
          <w:szCs w:val="28"/>
        </w:rPr>
        <w:t>25 июля</w:t>
      </w:r>
      <w:r w:rsidR="004D6FDA">
        <w:rPr>
          <w:sz w:val="28"/>
          <w:szCs w:val="28"/>
        </w:rPr>
        <w:t xml:space="preserve"> 2023 г.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 w:rsidR="004D6FDA">
        <w:rPr>
          <w:sz w:val="28"/>
          <w:szCs w:val="28"/>
        </w:rPr>
        <w:t xml:space="preserve">  № </w:t>
      </w:r>
      <w:r>
        <w:rPr>
          <w:sz w:val="28"/>
          <w:szCs w:val="28"/>
        </w:rPr>
        <w:t>330-п</w:t>
      </w:r>
      <w:r w:rsidR="004D6FDA">
        <w:rPr>
          <w:sz w:val="28"/>
          <w:szCs w:val="28"/>
          <w:u w:val="single"/>
        </w:rPr>
        <w:t xml:space="preserve">            </w:t>
      </w:r>
    </w:p>
    <w:p w:rsidR="004D2DBB" w:rsidRDefault="004D2DB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D2DBB" w:rsidRDefault="004D2DB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D2DBB" w:rsidRDefault="004D6FD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62:14:0650702:51 по 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за пределами участка. Ориентир «здание кафе». Участок находится примерно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в 670</w:t>
      </w:r>
      <w:r w:rsidR="002A773E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м, по направлению на юг от ориентира. Почтовый адрес ориентира: Рязанская обл., р-н Ряжский,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Большое</w:t>
      </w:r>
      <w:proofErr w:type="gram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Самарино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, ул. Дачная, дом 58</w:t>
      </w:r>
    </w:p>
    <w:p w:rsidR="004D2DBB" w:rsidRDefault="004D2DB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D2DBB" w:rsidRDefault="004D6FDA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iCs/>
          <w:spacing w:val="0"/>
          <w:sz w:val="28"/>
          <w:szCs w:val="28"/>
          <w:highlight w:val="white"/>
          <w:u w:val="none"/>
        </w:rPr>
        <w:t>Миронова Ю.А.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62:14:0650702:51 по адресу: местоположение установлено относительно ориентира, расположенного за пределами участка. Ориентир «здание кафе». Участок находится примерно в 670</w:t>
      </w:r>
      <w:r w:rsidR="002E37D6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м, по направлению на юг от ориентира. Почтовый адрес ориентира: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Рязанская обл., р-н Ряжский, 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Самарино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, ул. Дачная, дом 58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18.07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17</w:t>
      </w:r>
      <w:r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направлении работника в командировку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D2DBB" w:rsidRDefault="004D6FD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>62:14:0650702:51 по адресу: местоположение установлено относительно ориентира, расположенного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за пределами участка. Ориентир «здание кафе». Участок находится примерно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br/>
        <w:t>в 670</w:t>
      </w:r>
      <w:r w:rsidR="002E37D6"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м, по направлению на юг от ориентира. Почтовый адрес ориентира: </w:t>
      </w:r>
      <w:r>
        <w:rPr>
          <w:rStyle w:val="12"/>
          <w:iCs/>
          <w:color w:val="000000"/>
          <w:spacing w:val="0"/>
          <w:sz w:val="28"/>
          <w:szCs w:val="28"/>
          <w:highlight w:val="none"/>
        </w:rPr>
        <w:lastRenderedPageBreak/>
        <w:t xml:space="preserve">Рязанская обл., р-н Ряжский,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Большое</w:t>
      </w:r>
      <w:proofErr w:type="gram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Самарино</w:t>
      </w:r>
      <w:proofErr w:type="spellEnd"/>
      <w:r>
        <w:rPr>
          <w:rStyle w:val="12"/>
          <w:iCs/>
          <w:color w:val="000000"/>
          <w:spacing w:val="0"/>
          <w:sz w:val="28"/>
          <w:szCs w:val="28"/>
          <w:highlight w:val="none"/>
        </w:rPr>
        <w:t>, ул. Дачная, дом 58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highlight w:val="none"/>
          <w:lang w:eastAsia="ru-RU"/>
        </w:rPr>
        <w:t>Объекты придорожного сервиса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DBB" w:rsidRDefault="004D6FDA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D2DBB" w:rsidRDefault="004D6FDA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4D2DBB" w:rsidRDefault="004D6FDA">
      <w:pPr>
        <w:tabs>
          <w:tab w:val="left" w:pos="993"/>
        </w:tabs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D2DBB" w:rsidRDefault="004D6FDA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D2DBB" w:rsidRDefault="004D6FDA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D2DBB" w:rsidRDefault="004D6FDA">
      <w:pPr>
        <w:pStyle w:val="ConsPlusNormal"/>
        <w:tabs>
          <w:tab w:val="left" w:pos="993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4D2DBB" w:rsidRDefault="004D6FD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Ряжский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Алешинское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Ряжского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D2DBB" w:rsidRDefault="004D6FD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4D2DBB" w:rsidRDefault="004D2DBB">
      <w:pPr>
        <w:pStyle w:val="ConsPlusNormal"/>
        <w:ind w:firstLine="0"/>
        <w:jc w:val="both"/>
        <w:rPr>
          <w:sz w:val="28"/>
          <w:szCs w:val="28"/>
        </w:rPr>
      </w:pPr>
    </w:p>
    <w:p w:rsidR="004D2DBB" w:rsidRDefault="004D2D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2DBB" w:rsidRDefault="004D2DBB">
      <w:pPr>
        <w:tabs>
          <w:tab w:val="left" w:pos="709"/>
        </w:tabs>
        <w:jc w:val="both"/>
        <w:rPr>
          <w:sz w:val="28"/>
          <w:szCs w:val="28"/>
        </w:rPr>
      </w:pPr>
    </w:p>
    <w:p w:rsidR="004D2DBB" w:rsidRDefault="004D6FDA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</w:t>
      </w:r>
      <w:r>
        <w:rPr>
          <w:color w:val="000000" w:themeColor="text1"/>
          <w:sz w:val="28"/>
          <w:szCs w:val="28"/>
          <w:highlight w:val="white"/>
          <w:lang w:eastAsia="ar-SA"/>
        </w:rPr>
        <w:t>Т.С. Попкова</w:t>
      </w:r>
    </w:p>
    <w:p w:rsidR="004D2DBB" w:rsidRDefault="004D2DBB">
      <w:pPr>
        <w:tabs>
          <w:tab w:val="left" w:pos="709"/>
        </w:tabs>
        <w:rPr>
          <w:sz w:val="28"/>
          <w:szCs w:val="28"/>
        </w:rPr>
      </w:pPr>
    </w:p>
    <w:p w:rsidR="004D2DBB" w:rsidRDefault="004D6FD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8450" cy="20701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2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4pt;height:16.2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8450" cy="20701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20" cy="20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DBB" w:rsidRDefault="004D2DB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4pt;height:16.2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D2DBB" w:rsidRDefault="004D6FD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D2DBB" w:rsidRDefault="004D2DB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D2DB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9B" w:rsidRDefault="00D20E9B">
      <w:r>
        <w:separator/>
      </w:r>
    </w:p>
  </w:endnote>
  <w:endnote w:type="continuationSeparator" w:id="0">
    <w:p w:rsidR="00D20E9B" w:rsidRDefault="00D2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9B" w:rsidRDefault="00D20E9B">
      <w:r>
        <w:separator/>
      </w:r>
    </w:p>
  </w:footnote>
  <w:footnote w:type="continuationSeparator" w:id="0">
    <w:p w:rsidR="00D20E9B" w:rsidRDefault="00D2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BB" w:rsidRDefault="004D2DBB">
    <w:pPr>
      <w:pStyle w:val="af1"/>
      <w:jc w:val="center"/>
    </w:pPr>
  </w:p>
  <w:p w:rsidR="004D2DBB" w:rsidRDefault="004D6FD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DBB" w:rsidRDefault="004D2DB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B611B"/>
    <w:multiLevelType w:val="multilevel"/>
    <w:tmpl w:val="0D5E23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64651D"/>
    <w:multiLevelType w:val="multilevel"/>
    <w:tmpl w:val="C8E457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2DBB"/>
    <w:rsid w:val="002A773E"/>
    <w:rsid w:val="002E37D6"/>
    <w:rsid w:val="004D2DBB"/>
    <w:rsid w:val="004D6FDA"/>
    <w:rsid w:val="00CA7BEF"/>
    <w:rsid w:val="00D2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4</cp:revision>
  <cp:lastPrinted>2023-07-24T14:42:00Z</cp:lastPrinted>
  <dcterms:created xsi:type="dcterms:W3CDTF">2023-07-24T14:39:00Z</dcterms:created>
  <dcterms:modified xsi:type="dcterms:W3CDTF">2023-07-25T08:01:00Z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2023-07-21T10:29:44Z</cp:lastPrinted>
  <dcterms:modified xsi:type="dcterms:W3CDTF">2023-07-21T10:30:54Z</dcterms:modified>
  <cp:revision>195</cp:revision>
  <dc:subject/>
  <dc:title>ГЛАВА АДМИНИСТРАЦИИ РЯЗАНСКОЙ ОБЛАСТИ</dc:title>
</cp:coreProperties>
</file>