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260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62:15:0080512:1960 по адресу: Рязанская область, Рязанский р-н, с. Поляны,</w:t>
        <w:br/>
        <w:t>ул. Советская, д. 29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администрации муниципального образования - Рязанский муниципальный район</w:t>
        <w:br/>
        <w:t>Рязанской области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августа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708</TotalTime>
  <Application>LibreOffice/6.4.4.2$Linux_X86_64 LibreOffice_project/40$Build-2</Application>
  <Pages>2</Pages>
  <Words>593</Words>
  <Characters>4428</Characters>
  <CharactersWithSpaces>5039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2023-07-19T17:41:39Z</cp:lastPrinted>
  <dcterms:modified xsi:type="dcterms:W3CDTF">2023-07-19T17:41:42Z</dcterms:modified>
  <cp:revision>87</cp:revision>
  <dc:subject/>
  <dc:title/>
</cp:coreProperties>
</file>