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.07.2023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62:02:0020802:478 по адресу: Рязанская область, муниципальный район Захаровский, сельское поселение Безлыченское, деревня Шляхино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</w:t>
        <w:br/>
        <w:t>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 Безлычное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июля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августа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LibreOffice/6.4.4.2$Linux_X86_64 LibreOffice_project/40$Build-2</Application>
  <Pages>2</Pages>
  <Words>585</Words>
  <Characters>4411</Characters>
  <CharactersWithSpaces>5015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2023-07-24T16:13:22Z</dcterms:modified>
  <cp:revision>104</cp:revision>
  <dc:subject/>
  <dc:title/>
</cp:coreProperties>
</file>