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4562" w:rsidRDefault="008A66A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562" w:rsidRDefault="008A66A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F4562" w:rsidRDefault="008A66A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F4562" w:rsidRDefault="00FF456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F4562" w:rsidRDefault="00FF456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F4562" w:rsidRDefault="008A66A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F4562" w:rsidRDefault="00FF456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F4562" w:rsidRDefault="00FF456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F4562" w:rsidRDefault="006236CD">
      <w:pPr>
        <w:tabs>
          <w:tab w:val="left" w:pos="709"/>
        </w:tabs>
      </w:pPr>
      <w:r>
        <w:rPr>
          <w:sz w:val="28"/>
          <w:szCs w:val="28"/>
        </w:rPr>
        <w:t>07 августа</w:t>
      </w:r>
      <w:r w:rsidR="008A66AA">
        <w:rPr>
          <w:sz w:val="28"/>
          <w:szCs w:val="28"/>
        </w:rPr>
        <w:t xml:space="preserve"> 202</w:t>
      </w:r>
      <w:r w:rsidR="008A66AA">
        <w:rPr>
          <w:sz w:val="28"/>
          <w:szCs w:val="28"/>
        </w:rPr>
        <w:t>3</w:t>
      </w:r>
      <w:r w:rsidR="008A66AA">
        <w:rPr>
          <w:sz w:val="28"/>
          <w:szCs w:val="28"/>
        </w:rPr>
        <w:t xml:space="preserve"> г.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8A66AA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359-п</w:t>
      </w:r>
      <w:r w:rsidR="008A66AA">
        <w:rPr>
          <w:sz w:val="28"/>
          <w:szCs w:val="28"/>
        </w:rPr>
        <w:t xml:space="preserve"> </w:t>
      </w:r>
      <w:r w:rsidR="008A66AA">
        <w:rPr>
          <w:sz w:val="28"/>
          <w:szCs w:val="28"/>
          <w:u w:val="single"/>
        </w:rPr>
        <w:t xml:space="preserve">            </w:t>
      </w:r>
    </w:p>
    <w:p w:rsidR="00FF4562" w:rsidRDefault="00FF456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F4562" w:rsidRDefault="00FF456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F4562" w:rsidRDefault="008A66A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62:21:0020243:207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в районе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Хрущево</w:t>
      </w:r>
      <w:proofErr w:type="spellEnd"/>
    </w:p>
    <w:p w:rsidR="00FF4562" w:rsidRDefault="00FF456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4562" w:rsidRDefault="008A66AA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м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инистерства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имущественных и земельных отношений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62:21:0020243:207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в районе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Хрущево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  <w:proofErr w:type="gramEnd"/>
    </w:p>
    <w:p w:rsidR="00FF4562" w:rsidRDefault="008A66AA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62:21:0020243:207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в районе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Хрущево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Хранение</w:t>
      </w:r>
      <w:r>
        <w:rPr>
          <w:rStyle w:val="12"/>
          <w:color w:val="000000"/>
          <w:spacing w:val="0"/>
          <w:sz w:val="28"/>
          <w:szCs w:val="28"/>
          <w:lang w:eastAsia="ru-RU"/>
        </w:rPr>
        <w:br/>
        <w:t>и переработка сельскохозяйственной продукции (1.15)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562" w:rsidRDefault="008A66AA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FF4562" w:rsidRDefault="008A66AA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F4562" w:rsidRDefault="008A66AA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FF4562" w:rsidRDefault="008A66AA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F4562" w:rsidRDefault="008A66AA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F4562" w:rsidRDefault="008A66A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FF4562" w:rsidRDefault="008A66A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Старожиловский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Ленинское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Старожиловского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</w:t>
      </w:r>
      <w:r>
        <w:rPr>
          <w:rFonts w:ascii="Times New Roman" w:hAnsi="Times New Roman" w:cs="Times New Roman"/>
          <w:sz w:val="28"/>
          <w:szCs w:val="28"/>
          <w:highlight w:val="white"/>
        </w:rPr>
        <w:t>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F4562" w:rsidRDefault="008A66AA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</w:t>
      </w:r>
      <w:r>
        <w:rPr>
          <w:rFonts w:ascii="Times New Roman" w:hAnsi="Times New Roman" w:cs="Times New Roman"/>
          <w:sz w:val="28"/>
          <w:szCs w:val="28"/>
          <w:highlight w:val="white"/>
        </w:rPr>
        <w:t>го постановления возложить на отдел градостроительного контроля и правового обеспечения.</w:t>
      </w:r>
    </w:p>
    <w:p w:rsidR="00FF4562" w:rsidRDefault="00FF4562">
      <w:pPr>
        <w:pStyle w:val="ConsPlusNormal"/>
        <w:ind w:firstLine="0"/>
        <w:jc w:val="both"/>
        <w:rPr>
          <w:sz w:val="28"/>
          <w:szCs w:val="28"/>
        </w:rPr>
      </w:pPr>
    </w:p>
    <w:p w:rsidR="00FF4562" w:rsidRDefault="00FF45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4562" w:rsidRDefault="00FF4562">
      <w:pPr>
        <w:tabs>
          <w:tab w:val="left" w:pos="709"/>
        </w:tabs>
        <w:jc w:val="both"/>
        <w:rPr>
          <w:sz w:val="28"/>
          <w:szCs w:val="28"/>
        </w:rPr>
      </w:pPr>
    </w:p>
    <w:p w:rsidR="00FF4562" w:rsidRDefault="008A66A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F4562" w:rsidRDefault="00FF4562">
      <w:pPr>
        <w:tabs>
          <w:tab w:val="left" w:pos="709"/>
        </w:tabs>
        <w:rPr>
          <w:sz w:val="28"/>
          <w:szCs w:val="28"/>
        </w:rPr>
      </w:pPr>
    </w:p>
    <w:p w:rsidR="00FF4562" w:rsidRDefault="008A66A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8450" cy="2070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2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pt;height:16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8450" cy="2070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20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F4562" w:rsidRDefault="00FF45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pt;height:16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F4562" w:rsidRDefault="008A66A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F4562" w:rsidRDefault="00FF45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F456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AA" w:rsidRDefault="008A66AA">
      <w:r>
        <w:separator/>
      </w:r>
    </w:p>
  </w:endnote>
  <w:endnote w:type="continuationSeparator" w:id="0">
    <w:p w:rsidR="008A66AA" w:rsidRDefault="008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AA" w:rsidRDefault="008A66AA">
      <w:r>
        <w:separator/>
      </w:r>
    </w:p>
  </w:footnote>
  <w:footnote w:type="continuationSeparator" w:id="0">
    <w:p w:rsidR="008A66AA" w:rsidRDefault="008A6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62" w:rsidRDefault="00FF4562">
    <w:pPr>
      <w:pStyle w:val="af1"/>
      <w:jc w:val="center"/>
    </w:pPr>
  </w:p>
  <w:p w:rsidR="00FF4562" w:rsidRDefault="008A66A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62" w:rsidRDefault="00FF456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7B28"/>
    <w:multiLevelType w:val="multilevel"/>
    <w:tmpl w:val="1A0221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E14A83"/>
    <w:multiLevelType w:val="multilevel"/>
    <w:tmpl w:val="6F6E3A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562"/>
    <w:rsid w:val="006236CD"/>
    <w:rsid w:val="008A66A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2023-08-07T11:50:00Z</dcterms:created>
  <dcterms:modified xsi:type="dcterms:W3CDTF">2023-08-07T11:50:00Z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2023-08-02T14:54:49Z</cp:lastPrinted>
  <dcterms:modified xsi:type="dcterms:W3CDTF">2023-08-03T10:18:34Z</dcterms:modified>
  <cp:revision>195</cp:revision>
  <dc:subject/>
  <dc:title>ГЛАВА АДМИНИСТРАЦИИ РЯЗАНСКОЙ ОБЛАСТИ</dc:title>
</cp:coreProperties>
</file>