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62:11:0020112:128 по адресу: Рязанская область, муниципальный район Пронский,</w:t>
        <w:br/>
        <w:t>городское поселение Пронское, рабочий поселок Пронск, улица Ново-Стрелецкая,</w:t>
        <w:br/>
        <w:t>земельный участок 10 б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запрашиваемый вид –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ru-RU" w:bidi="ar-SA"/>
        </w:rPr>
        <w:t>Гостиничное обслуживание (4.7)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)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Смирнова Романа</w:t>
        <w:br/>
        <w:t>Александровича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сентября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Пронск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22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Пронск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22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/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762</TotalTime>
  <Application>LibreOffice/6.4.4.2$Linux_X86_64 LibreOffice_project/40$Build-2</Application>
  <Pages>2</Pages>
  <Words>566</Words>
  <Characters>4264</Characters>
  <CharactersWithSpaces>4849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2023-08-24T11:57:36Z</dcterms:modified>
  <cp:revision>96</cp:revision>
  <dc:subject/>
  <dc:title/>
</cp:coreProperties>
</file>