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A5CC1" w:rsidRDefault="007F5D03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w:drawing>
          <wp:inline distT="0" distB="0" distL="0" distR="0">
            <wp:extent cx="915670" cy="981710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1616" t="-1526" r="-1616" b="-15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670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5CC1" w:rsidRDefault="007F5D03">
      <w:pPr>
        <w:pStyle w:val="ae"/>
        <w:spacing w:line="240" w:lineRule="auto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 УПРАВЛЕНИЕ  АРХИТЕКТУРЫ  И  ГРАДОСТРОИТЕЛЬСТВА</w:t>
      </w:r>
    </w:p>
    <w:p w:rsidR="00BA5CC1" w:rsidRDefault="007F5D03">
      <w:pPr>
        <w:pStyle w:val="1"/>
        <w:numPr>
          <w:ilvl w:val="0"/>
          <w:numId w:val="2"/>
        </w:numPr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BA5CC1" w:rsidRDefault="00BA5CC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A5CC1" w:rsidRDefault="00BA5CC1">
      <w:pPr>
        <w:pStyle w:val="af1"/>
        <w:tabs>
          <w:tab w:val="right" w:pos="9922"/>
        </w:tabs>
        <w:spacing w:line="240" w:lineRule="exact"/>
        <w:rPr>
          <w:b/>
          <w:sz w:val="31"/>
          <w:szCs w:val="31"/>
          <w:lang w:eastAsia="ru-RU"/>
        </w:rPr>
      </w:pPr>
    </w:p>
    <w:p w:rsidR="00BA5CC1" w:rsidRDefault="007F5D03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BA5CC1" w:rsidRDefault="00BA5CC1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BA5CC1" w:rsidRDefault="00BA5CC1">
      <w:pPr>
        <w:tabs>
          <w:tab w:val="left" w:pos="709"/>
        </w:tabs>
        <w:jc w:val="center"/>
        <w:rPr>
          <w:b/>
          <w:sz w:val="28"/>
          <w:szCs w:val="28"/>
        </w:rPr>
      </w:pPr>
      <w:bookmarkStart w:id="0" w:name="_GoBack"/>
      <w:bookmarkEnd w:id="0"/>
    </w:p>
    <w:p w:rsidR="00BA5CC1" w:rsidRDefault="00230DF9">
      <w:pPr>
        <w:tabs>
          <w:tab w:val="left" w:pos="709"/>
        </w:tabs>
      </w:pPr>
      <w:r>
        <w:rPr>
          <w:sz w:val="28"/>
          <w:szCs w:val="28"/>
        </w:rPr>
        <w:t xml:space="preserve">24 октября </w:t>
      </w:r>
      <w:r w:rsidR="007F5D03">
        <w:rPr>
          <w:sz w:val="28"/>
          <w:szCs w:val="28"/>
        </w:rPr>
        <w:t>202</w:t>
      </w:r>
      <w:r w:rsidR="007F5D03">
        <w:rPr>
          <w:sz w:val="28"/>
          <w:szCs w:val="28"/>
        </w:rPr>
        <w:t>3</w:t>
      </w:r>
      <w:r w:rsidR="007F5D03">
        <w:rPr>
          <w:sz w:val="28"/>
          <w:szCs w:val="28"/>
        </w:rPr>
        <w:t xml:space="preserve"> г.                                                                      </w:t>
      </w:r>
      <w:r>
        <w:rPr>
          <w:sz w:val="28"/>
          <w:szCs w:val="28"/>
        </w:rPr>
        <w:t xml:space="preserve">                      </w:t>
      </w:r>
      <w:r w:rsidR="007F5D03">
        <w:rPr>
          <w:sz w:val="28"/>
          <w:szCs w:val="28"/>
        </w:rPr>
        <w:t xml:space="preserve">№ </w:t>
      </w:r>
      <w:r>
        <w:rPr>
          <w:sz w:val="28"/>
          <w:szCs w:val="28"/>
        </w:rPr>
        <w:t>508-п</w:t>
      </w:r>
      <w:r w:rsidR="007F5D03">
        <w:rPr>
          <w:sz w:val="28"/>
          <w:szCs w:val="28"/>
        </w:rPr>
        <w:t xml:space="preserve"> </w:t>
      </w:r>
      <w:r w:rsidR="007F5D03">
        <w:rPr>
          <w:sz w:val="28"/>
          <w:szCs w:val="28"/>
          <w:u w:val="single"/>
        </w:rPr>
        <w:t xml:space="preserve">            </w:t>
      </w:r>
    </w:p>
    <w:p w:rsidR="00BA5CC1" w:rsidRDefault="00BA5CC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A5CC1" w:rsidRDefault="00BA5CC1">
      <w:pPr>
        <w:tabs>
          <w:tab w:val="left" w:pos="709"/>
        </w:tabs>
        <w:jc w:val="both"/>
        <w:rPr>
          <w:sz w:val="28"/>
          <w:szCs w:val="28"/>
          <w:u w:val="single"/>
        </w:rPr>
      </w:pPr>
    </w:p>
    <w:p w:rsidR="00BA5CC1" w:rsidRDefault="007F5D03">
      <w:pPr>
        <w:pStyle w:val="ConsPlusNormal"/>
        <w:ind w:firstLine="0"/>
        <w:jc w:val="center"/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 xml:space="preserve">О предоставлении разрешения на условно разрешенный вид использования земельного участка с кадастровым номером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62:05:0020191:238 по адресу: 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городское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Тумское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рабочий поселок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Тума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улица Строите</w:t>
      </w:r>
      <w:r>
        <w:rPr>
          <w:rStyle w:val="12"/>
          <w:iCs/>
          <w:color w:val="000000"/>
          <w:spacing w:val="0"/>
          <w:sz w:val="28"/>
          <w:szCs w:val="28"/>
        </w:rPr>
        <w:t>лей</w:t>
      </w:r>
    </w:p>
    <w:p w:rsidR="00BA5CC1" w:rsidRDefault="00BA5CC1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A5CC1" w:rsidRDefault="007F5D03">
      <w:pPr>
        <w:pStyle w:val="ConsPlusNormal"/>
        <w:spacing w:line="235" w:lineRule="auto"/>
        <w:ind w:firstLine="0"/>
        <w:jc w:val="both"/>
      </w:pPr>
      <w:r>
        <w:rPr>
          <w:rFonts w:ascii="Times New Roman" w:eastAsia="Arial" w:hAnsi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На основании обращения </w:t>
      </w:r>
      <w:r>
        <w:rPr>
          <w:rStyle w:val="12"/>
          <w:iCs/>
          <w:color w:val="000000"/>
          <w:spacing w:val="0"/>
          <w:sz w:val="28"/>
          <w:szCs w:val="28"/>
          <w:shd w:val="clear" w:color="auto" w:fill="FFFFFF"/>
        </w:rPr>
        <w:t>а</w:t>
      </w:r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 xml:space="preserve">дминистрации муниципального образования — </w:t>
      </w:r>
      <w:proofErr w:type="spellStart"/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>Тумское</w:t>
      </w:r>
      <w:proofErr w:type="spellEnd"/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 xml:space="preserve"> городское поселение </w:t>
      </w:r>
      <w:proofErr w:type="spellStart"/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>Клепиковского</w:t>
      </w:r>
      <w:proofErr w:type="spellEnd"/>
      <w:r>
        <w:rPr>
          <w:rStyle w:val="12"/>
          <w:rFonts w:cs="PT Astra Serif"/>
          <w:iCs/>
          <w:color w:val="000000"/>
          <w:spacing w:val="0"/>
          <w:sz w:val="28"/>
          <w:szCs w:val="28"/>
        </w:rPr>
        <w:t xml:space="preserve"> муниципального района Рязанской области</w:t>
      </w:r>
      <w:r>
        <w:rPr>
          <w:rStyle w:val="5"/>
          <w:rFonts w:cs="Times New Roman"/>
          <w:b w:val="0"/>
          <w:bCs w:val="0"/>
          <w:spacing w:val="0"/>
          <w:sz w:val="28"/>
          <w:szCs w:val="28"/>
          <w:highlight w:val="white"/>
          <w:u w:val="non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земельного участка с </w:t>
      </w:r>
      <w:r>
        <w:rPr>
          <w:rFonts w:ascii="Times New Roman" w:hAnsi="Times New Roman" w:cs="Times New Roman"/>
          <w:color w:val="000000"/>
          <w:sz w:val="28"/>
          <w:szCs w:val="28"/>
        </w:rPr>
        <w:t>кадастровым номером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>62:05:0020191:238</w:t>
      </w:r>
      <w:r>
        <w:rPr>
          <w:rStyle w:val="12"/>
          <w:iCs/>
          <w:color w:val="000000"/>
          <w:spacing w:val="0"/>
          <w:sz w:val="28"/>
          <w:szCs w:val="28"/>
        </w:rPr>
        <w:br/>
        <w:t xml:space="preserve">по адресу: </w:t>
      </w:r>
      <w:proofErr w:type="gramStart"/>
      <w:r>
        <w:rPr>
          <w:rStyle w:val="12"/>
          <w:iCs/>
          <w:color w:val="000000"/>
          <w:spacing w:val="0"/>
          <w:sz w:val="28"/>
          <w:szCs w:val="28"/>
        </w:rPr>
        <w:t xml:space="preserve">Рязанская область, 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городское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Тумское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рабочий поселок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Тума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улица Строителей</w:t>
      </w:r>
      <w:r>
        <w:rPr>
          <w:rFonts w:ascii="Times New Roman" w:hAnsi="Times New Roman" w:cs="Times New Roman"/>
          <w:sz w:val="28"/>
          <w:szCs w:val="28"/>
        </w:rPr>
        <w:t>, с учетом заключения о результатах общественных обсуждений от 10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.10</w:t>
      </w:r>
      <w:r>
        <w:rPr>
          <w:rFonts w:ascii="Times New Roman" w:hAnsi="Times New Roman" w:cs="Times New Roman"/>
          <w:sz w:val="28"/>
          <w:szCs w:val="28"/>
          <w:highlight w:val="white"/>
        </w:rPr>
        <w:t>.2023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руководствуясь статьей 39 Градостроительного кодекса Российской Федерации, статьей 2 Закона Рязанской области от 28.12.2018 № 106-ОЗ</w:t>
      </w:r>
      <w:r>
        <w:rPr>
          <w:rFonts w:ascii="Times New Roman" w:hAnsi="Times New Roman" w:cs="Times New Roman"/>
          <w:sz w:val="28"/>
          <w:szCs w:val="28"/>
        </w:rPr>
        <w:br/>
        <w:t>«О перераспределении отдельных полномочий в области градостроительной деятельности между органами местного самоуправления м</w:t>
      </w:r>
      <w:r>
        <w:rPr>
          <w:rFonts w:ascii="Times New Roman" w:hAnsi="Times New Roman" w:cs="Times New Roman"/>
          <w:sz w:val="28"/>
          <w:szCs w:val="28"/>
        </w:rPr>
        <w:t>униципальных образований Рязанской области и органами государственной власти Рязанской области», постановлением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06.08.2008 № 153 «Об утверждении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оложения о главном управлении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</w:t>
      </w:r>
      <w:r>
        <w:rPr>
          <w:rFonts w:ascii="Times New Roman" w:hAnsi="Times New Roman" w:cs="Times New Roman"/>
          <w:sz w:val="28"/>
          <w:szCs w:val="28"/>
        </w:rPr>
        <w:t>ласти»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главное управление архитектуры</w:t>
      </w:r>
      <w:r>
        <w:rPr>
          <w:rFonts w:ascii="Times New Roman" w:hAnsi="Times New Roman" w:cs="Times New Roman"/>
          <w:sz w:val="28"/>
          <w:szCs w:val="28"/>
        </w:rPr>
        <w:br/>
        <w:t>и градостроительства Рязанской области ПОСТАНОВЛЯЕТ:</w:t>
      </w:r>
    </w:p>
    <w:p w:rsidR="00BA5CC1" w:rsidRDefault="007F5D03">
      <w:pPr>
        <w:pStyle w:val="ConsPlusNormal"/>
        <w:tabs>
          <w:tab w:val="left" w:pos="1134"/>
        </w:tabs>
        <w:spacing w:line="235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Предоставить</w:t>
      </w:r>
      <w:r>
        <w:rPr>
          <w:rFonts w:ascii="Times New Roman" w:hAnsi="Times New Roman" w:cs="Times New Roman"/>
          <w:color w:val="000000"/>
          <w:kern w:val="2"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разрешение на условно разрешенный вид использования земельного участка с кадастровым номером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62:05:0020191:238 по адресу: Рязанская область, </w:t>
      </w:r>
      <w:r>
        <w:rPr>
          <w:rStyle w:val="12"/>
          <w:iCs/>
          <w:color w:val="000000"/>
          <w:spacing w:val="0"/>
          <w:sz w:val="28"/>
          <w:szCs w:val="28"/>
        </w:rPr>
        <w:t xml:space="preserve">муниципальный район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Клепиковский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городское поселение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Тумское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 xml:space="preserve">, рабочий поселок </w:t>
      </w:r>
      <w:proofErr w:type="spellStart"/>
      <w:r>
        <w:rPr>
          <w:rStyle w:val="12"/>
          <w:iCs/>
          <w:color w:val="000000"/>
          <w:spacing w:val="0"/>
          <w:sz w:val="28"/>
          <w:szCs w:val="28"/>
        </w:rPr>
        <w:t>Тума</w:t>
      </w:r>
      <w:proofErr w:type="spellEnd"/>
      <w:r>
        <w:rPr>
          <w:rStyle w:val="12"/>
          <w:iCs/>
          <w:color w:val="000000"/>
          <w:spacing w:val="0"/>
          <w:sz w:val="28"/>
          <w:szCs w:val="28"/>
        </w:rPr>
        <w:t>, улица Строителей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shd w:val="clear" w:color="auto" w:fill="FFFFFF"/>
        </w:rPr>
        <w:t xml:space="preserve">— 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«</w:t>
      </w:r>
      <w:r>
        <w:rPr>
          <w:rStyle w:val="12"/>
          <w:color w:val="202122"/>
          <w:spacing w:val="0"/>
          <w:sz w:val="28"/>
          <w:szCs w:val="28"/>
        </w:rPr>
        <w:t>Для индивидуального жилищного строительства (2.1)</w:t>
      </w:r>
      <w:r>
        <w:rPr>
          <w:rStyle w:val="12"/>
          <w:rFonts w:eastAsia="Calibri" w:cs="Arial"/>
          <w:bCs/>
          <w:iCs/>
          <w:color w:val="000000"/>
          <w:spacing w:val="0"/>
          <w:kern w:val="2"/>
          <w:sz w:val="28"/>
          <w:szCs w:val="28"/>
          <w:lang w:eastAsia="ar-SA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5CC1" w:rsidRDefault="007F5D0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  <w:lang w:eastAsia="ar-SA"/>
        </w:rPr>
        <w:t>Отделу кадровой работы и делопроизводства обеспечить:</w:t>
      </w:r>
    </w:p>
    <w:p w:rsidR="00BA5CC1" w:rsidRDefault="007F5D0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1) государственную регистрацию настоящего </w:t>
      </w:r>
      <w:r>
        <w:rPr>
          <w:rFonts w:ascii="Times New Roman" w:hAnsi="Times New Roman" w:cs="Times New Roman"/>
          <w:sz w:val="28"/>
          <w:szCs w:val="28"/>
        </w:rPr>
        <w:t>постановления в правовом департаменте аппарата Губернатора и Правительства Рязанской области;</w:t>
      </w:r>
      <w:proofErr w:type="gramEnd"/>
    </w:p>
    <w:p w:rsidR="00BA5CC1" w:rsidRDefault="007F5D03">
      <w:pPr>
        <w:tabs>
          <w:tab w:val="left" w:pos="993"/>
        </w:tabs>
        <w:spacing w:line="235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2) опубликование настоящего постановления в сетевом издании «Рязанские ведомости» (www.rv-ryazan.ru) и на официальном интернет-портале правовой информации (www.pr</w:t>
      </w:r>
      <w:r>
        <w:rPr>
          <w:sz w:val="28"/>
          <w:szCs w:val="28"/>
        </w:rPr>
        <w:t>avo.gov.ru).</w:t>
      </w:r>
      <w:proofErr w:type="gramEnd"/>
    </w:p>
    <w:p w:rsidR="00BA5CC1" w:rsidRDefault="007F5D03">
      <w:pPr>
        <w:pStyle w:val="ConsPlusNormal"/>
        <w:tabs>
          <w:tab w:val="left" w:pos="993"/>
        </w:tabs>
        <w:spacing w:line="235" w:lineRule="auto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sz w:val="28"/>
          <w:szCs w:val="28"/>
        </w:rPr>
        <w:t>Государственному казенному учреждению Рязанской области «Центр градостроительного развития Рязанской области»:</w:t>
      </w:r>
    </w:p>
    <w:p w:rsidR="00BA5CC1" w:rsidRDefault="007F5D03">
      <w:pPr>
        <w:pStyle w:val="ConsPlusNormal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и заключение о результатах общественных обсуждений на официальном сайте главного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архитектуры и градостроительства Рязанской области в сети «Интернет»;</w:t>
      </w:r>
    </w:p>
    <w:p w:rsidR="00BA5CC1" w:rsidRDefault="007F5D03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2) </w:t>
      </w:r>
      <w:r>
        <w:rPr>
          <w:rFonts w:ascii="Times New Roman" w:eastAsia="Tahoma" w:hAnsi="Times New Roman" w:cs="Noto Sans Devanagari"/>
          <w:color w:val="000000" w:themeColor="text1"/>
          <w:sz w:val="28"/>
          <w:szCs w:val="28"/>
          <w:lang w:bidi="hi-IN"/>
        </w:rPr>
        <w:t>направить 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государственной регистрации прав, ведение Единого государственного реестра недвижимости, сведения о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предоставлении разрешения на условно разрешенный вид использования земельного участка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 xml:space="preserve"> для внесения в Единый государственный реестр недвижимости в соответств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t>ии с Федеральным законом от 13.07.2015</w:t>
      </w:r>
      <w:r>
        <w:rPr>
          <w:rFonts w:ascii="Times New Roman" w:eastAsia="Tahoma" w:hAnsi="Times New Roman" w:cs="Noto Sans Devanagari"/>
          <w:sz w:val="28"/>
          <w:szCs w:val="28"/>
          <w:lang w:bidi="hi-IN"/>
        </w:rPr>
        <w:br/>
        <w:t>№ 218-ФЗ «О государственной регистрации недвижимости»;</w:t>
      </w:r>
      <w:proofErr w:type="gramEnd"/>
    </w:p>
    <w:p w:rsidR="00BA5CC1" w:rsidRDefault="007F5D03">
      <w:pPr>
        <w:pStyle w:val="ConsPlusNormal"/>
        <w:ind w:firstLine="737"/>
        <w:jc w:val="both"/>
      </w:pPr>
      <w:r>
        <w:rPr>
          <w:rFonts w:ascii="Times New Roman" w:hAnsi="Times New Roman" w:cs="Times New Roman"/>
          <w:sz w:val="28"/>
          <w:szCs w:val="28"/>
        </w:rPr>
        <w:t>3) 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предложить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Клепиковский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муниципальный район Рязанской области, главе муниципального образования —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Тумское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городское поселени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Клепиковского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обеспечить размещение настоящего постановления на официальном сайте муниципального образования в сети «Интернет», в средствах массовой информации, являющихся источниками официального опубликования пра</w:t>
      </w:r>
      <w:r>
        <w:rPr>
          <w:rFonts w:ascii="Times New Roman" w:hAnsi="Times New Roman" w:cs="Times New Roman"/>
          <w:sz w:val="28"/>
          <w:szCs w:val="28"/>
          <w:highlight w:val="white"/>
        </w:rPr>
        <w:t>вовых актов органов местного самоуправления.</w:t>
      </w:r>
    </w:p>
    <w:p w:rsidR="00BA5CC1" w:rsidRDefault="007F5D0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исполнением настоящего постановления возложить на отдел градостроительного контроля и правового обеспечения.</w:t>
      </w:r>
    </w:p>
    <w:p w:rsidR="00BA5CC1" w:rsidRDefault="00BA5CC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BA5CC1" w:rsidRDefault="00BA5CC1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BA5CC1" w:rsidRDefault="00BA5CC1">
      <w:pPr>
        <w:tabs>
          <w:tab w:val="left" w:pos="709"/>
        </w:tabs>
        <w:jc w:val="both"/>
        <w:rPr>
          <w:sz w:val="28"/>
          <w:szCs w:val="28"/>
        </w:rPr>
      </w:pPr>
    </w:p>
    <w:p w:rsidR="00BA5CC1" w:rsidRDefault="007F5D03">
      <w:pPr>
        <w:tabs>
          <w:tab w:val="left" w:pos="709"/>
        </w:tabs>
        <w:jc w:val="both"/>
        <w:rPr>
          <w:color w:val="000000"/>
        </w:rPr>
      </w:pPr>
      <w:r>
        <w:rPr>
          <w:color w:val="202122"/>
          <w:sz w:val="28"/>
          <w:szCs w:val="28"/>
          <w:highlight w:val="white"/>
          <w:lang w:eastAsia="ar-SA"/>
        </w:rPr>
        <w:t>Начальник</w:t>
      </w:r>
      <w:r>
        <w:rPr>
          <w:color w:val="202122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   Р.В. Шашкин</w:t>
      </w:r>
    </w:p>
    <w:p w:rsidR="00BA5CC1" w:rsidRDefault="00BA5CC1">
      <w:pPr>
        <w:tabs>
          <w:tab w:val="left" w:pos="709"/>
        </w:tabs>
        <w:rPr>
          <w:sz w:val="28"/>
          <w:szCs w:val="28"/>
        </w:rPr>
      </w:pPr>
    </w:p>
    <w:p w:rsidR="00BA5CC1" w:rsidRDefault="007F5D03">
      <w:pPr>
        <w:tabs>
          <w:tab w:val="left" w:pos="709"/>
        </w:tabs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2" name="Врезка1_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Врезка1_0" fillcolor="white" stroked="f" style="position:absolute;margin-left:193.85pt;margin-top:-41.05pt;width:23.7pt;height:16.5pt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2260" cy="210820"/>
                <wp:effectExtent l="0" t="0" r="0" b="0"/>
                <wp:wrapNone/>
                <wp:docPr id="3" name="Врезк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680" cy="21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A5CC1" w:rsidRDefault="00BA5CC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stroked="f" style="position:absolute;margin-left:193.85pt;margin-top:-41.05pt;width:23.7pt;height:16.5pt">
                <w10:wrap type="non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BA5CC1" w:rsidRDefault="007F5D03">
      <w:pPr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-521335</wp:posOffset>
                </wp:positionV>
                <wp:extent cx="306070" cy="214630"/>
                <wp:effectExtent l="0" t="0" r="0" b="0"/>
                <wp:wrapNone/>
                <wp:docPr id="5" name="Врезк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280" cy="21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A5CC1" w:rsidRDefault="00BA5CC1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106560" tIns="60840" rIns="106560" bIns="6084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fillcolor="white" stroked="f" style="position:absolute;margin-left:193.85pt;margin-top:-41.05pt;width:24pt;height:16.8pt">
                <w10:wrap type="non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Normal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</w:rPr>
        <w:t xml:space="preserve">        </w:t>
      </w:r>
    </w:p>
    <w:sectPr w:rsidR="00BA5CC1">
      <w:headerReference w:type="default" r:id="rId9"/>
      <w:headerReference w:type="first" r:id="rId10"/>
      <w:pgSz w:w="11906" w:h="16838"/>
      <w:pgMar w:top="1135" w:right="567" w:bottom="1135" w:left="1418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D03" w:rsidRDefault="007F5D03">
      <w:r>
        <w:separator/>
      </w:r>
    </w:p>
  </w:endnote>
  <w:endnote w:type="continuationSeparator" w:id="0">
    <w:p w:rsidR="007F5D03" w:rsidRDefault="007F5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D03" w:rsidRDefault="007F5D03">
      <w:r>
        <w:separator/>
      </w:r>
    </w:p>
  </w:footnote>
  <w:footnote w:type="continuationSeparator" w:id="0">
    <w:p w:rsidR="007F5D03" w:rsidRDefault="007F5D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C1" w:rsidRDefault="00BA5CC1">
    <w:pPr>
      <w:pStyle w:val="af1"/>
      <w:jc w:val="center"/>
    </w:pPr>
  </w:p>
  <w:p w:rsidR="00BA5CC1" w:rsidRDefault="007F5D03">
    <w:pPr>
      <w:pStyle w:val="af1"/>
      <w:jc w:val="center"/>
    </w:pPr>
    <w: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5CC1" w:rsidRDefault="00BA5CC1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D2326"/>
    <w:multiLevelType w:val="multilevel"/>
    <w:tmpl w:val="27880E8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5726E8A"/>
    <w:multiLevelType w:val="multilevel"/>
    <w:tmpl w:val="070A821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5CC1"/>
    <w:rsid w:val="00230DF9"/>
    <w:rsid w:val="007F5D03"/>
    <w:rsid w:val="00BA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hAnsi="Times New Roman" w:cs="Times New Roman"/>
      <w:sz w:val="28"/>
      <w:szCs w:val="28"/>
    </w:rPr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4z1">
    <w:name w:val="WW8Num14z1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7z1">
    <w:name w:val="WW8Num17z1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ascii="Times New Roman" w:hAnsi="Times New Roman" w:cs="Times New Roman"/>
      <w:sz w:val="28"/>
      <w:szCs w:val="28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ascii="Times New Roman" w:eastAsia="Times New Roman" w:hAnsi="Times New Roman" w:cs="Times New Roman"/>
    </w:rPr>
  </w:style>
  <w:style w:type="character" w:customStyle="1" w:styleId="WW8Num21z2">
    <w:name w:val="WW8Num21z2"/>
    <w:qFormat/>
    <w:rPr>
      <w:rFonts w:cs="Times New Roman"/>
    </w:rPr>
  </w:style>
  <w:style w:type="character" w:customStyle="1" w:styleId="10">
    <w:name w:val="Заголовок 1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basedOn w:val="a0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basedOn w:val="a0"/>
    <w:qFormat/>
    <w:rPr>
      <w:rFonts w:cs="Times New Roman"/>
      <w:sz w:val="26"/>
    </w:rPr>
  </w:style>
  <w:style w:type="character" w:customStyle="1" w:styleId="a5">
    <w:name w:val="Нижний колонтитул Знак"/>
    <w:basedOn w:val="a0"/>
    <w:qFormat/>
    <w:rPr>
      <w:rFonts w:cs="Times New Roman"/>
      <w:sz w:val="26"/>
    </w:rPr>
  </w:style>
  <w:style w:type="character" w:customStyle="1" w:styleId="a6">
    <w:name w:val="Основной текст Знак"/>
    <w:basedOn w:val="a0"/>
    <w:qFormat/>
    <w:rPr>
      <w:rFonts w:cs="Times New Roman"/>
      <w:sz w:val="26"/>
    </w:rPr>
  </w:style>
  <w:style w:type="character" w:customStyle="1" w:styleId="21">
    <w:name w:val="Основной текст 2 Знак1"/>
    <w:basedOn w:val="a0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qFormat/>
    <w:rPr>
      <w:rFonts w:eastAsia="Times New Roman"/>
    </w:rPr>
  </w:style>
  <w:style w:type="character" w:customStyle="1" w:styleId="a8">
    <w:name w:val="Основной текст с отступом Знак"/>
    <w:basedOn w:val="a0"/>
    <w:qFormat/>
    <w:rPr>
      <w:rFonts w:cs="Times New Roman"/>
      <w:sz w:val="26"/>
    </w:rPr>
  </w:style>
  <w:style w:type="character" w:customStyle="1" w:styleId="-">
    <w:name w:val="Интернет-ссылка"/>
    <w:basedOn w:val="a0"/>
    <w:rPr>
      <w:rFonts w:ascii="Arial" w:hAnsi="Arial" w:cs="Arial"/>
      <w:color w:val="0000FF"/>
      <w:sz w:val="20"/>
      <w:szCs w:val="20"/>
      <w:u w:val="single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11">
    <w:name w:val="Знак Знак1"/>
    <w:basedOn w:val="a0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basedOn w:val="a0"/>
    <w:qFormat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12">
    <w:name w:val="Основной текст1"/>
    <w:basedOn w:val="aa"/>
    <w:qFormat/>
    <w:rPr>
      <w:rFonts w:ascii="Times New Roman" w:eastAsia="Times New Roman" w:hAnsi="Times New Roman" w:cs="Times New Roman"/>
      <w:spacing w:val="3"/>
      <w:sz w:val="25"/>
      <w:szCs w:val="25"/>
      <w:highlight w:val="white"/>
    </w:rPr>
  </w:style>
  <w:style w:type="character" w:customStyle="1" w:styleId="5">
    <w:name w:val="Заголовок №5"/>
    <w:qFormat/>
    <w:rPr>
      <w:rFonts w:ascii="Times New Roman" w:eastAsia="Times New Roman" w:hAnsi="Times New Roman"/>
      <w:b/>
      <w:bCs/>
      <w:i w:val="0"/>
      <w:iCs w:val="0"/>
      <w:caps w:val="0"/>
      <w:smallCaps w:val="0"/>
      <w:strike w:val="0"/>
      <w:dstrike w:val="0"/>
      <w:color w:val="000000"/>
      <w:spacing w:val="-3"/>
      <w:sz w:val="21"/>
      <w:szCs w:val="21"/>
      <w:u w:val="single"/>
      <w:lang w:val="ru-RU"/>
    </w:rPr>
  </w:style>
  <w:style w:type="character" w:customStyle="1" w:styleId="3">
    <w:name w:val="Основной шрифт абзаца3"/>
    <w:qFormat/>
  </w:style>
  <w:style w:type="character" w:customStyle="1" w:styleId="2">
    <w:name w:val="Основной шрифт абзаца2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13">
    <w:name w:val="Основной шрифт абзаца1"/>
    <w:qFormat/>
  </w:style>
  <w:style w:type="character" w:customStyle="1" w:styleId="EndnoteTextChar">
    <w:name w:val="Endnote Text Char"/>
    <w:qFormat/>
    <w:rPr>
      <w:sz w:val="20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CaptionChar">
    <w:name w:val="Caption Char"/>
    <w:qFormat/>
  </w:style>
  <w:style w:type="character" w:customStyle="1" w:styleId="FooterChar">
    <w:name w:val="Footer Char"/>
    <w:qFormat/>
  </w:style>
  <w:style w:type="character" w:customStyle="1" w:styleId="HeaderChar">
    <w:name w:val="Header Char"/>
    <w:qFormat/>
  </w:style>
  <w:style w:type="character" w:customStyle="1" w:styleId="IntenseQuoteChar">
    <w:name w:val="Intense Quote Char"/>
    <w:qFormat/>
    <w:rPr>
      <w:i/>
    </w:rPr>
  </w:style>
  <w:style w:type="character" w:customStyle="1" w:styleId="QuoteChar">
    <w:name w:val="Quote Char"/>
    <w:qFormat/>
    <w:rPr>
      <w:i/>
    </w:rPr>
  </w:style>
  <w:style w:type="character" w:customStyle="1" w:styleId="SubtitleChar">
    <w:name w:val="Subtitle Char"/>
    <w:qFormat/>
  </w:style>
  <w:style w:type="character" w:customStyle="1" w:styleId="TitleChar">
    <w:name w:val="Title Char"/>
    <w:qFormat/>
    <w:rPr>
      <w:sz w:val="48"/>
    </w:rPr>
  </w:style>
  <w:style w:type="character" w:customStyle="1" w:styleId="Heading9Char">
    <w:name w:val="Heading 9 Char"/>
    <w:qFormat/>
    <w:rPr>
      <w:rFonts w:ascii="Arial" w:eastAsia="Arial" w:hAnsi="Arial"/>
      <w:i/>
      <w:iCs/>
      <w:sz w:val="21"/>
      <w:szCs w:val="21"/>
    </w:rPr>
  </w:style>
  <w:style w:type="character" w:customStyle="1" w:styleId="Heading8Char">
    <w:name w:val="Heading 8 Char"/>
    <w:qFormat/>
    <w:rPr>
      <w:rFonts w:ascii="Arial" w:eastAsia="Arial" w:hAnsi="Arial"/>
      <w:i/>
      <w:iCs/>
      <w:sz w:val="22"/>
      <w:szCs w:val="22"/>
    </w:rPr>
  </w:style>
  <w:style w:type="character" w:customStyle="1" w:styleId="Heading7Char">
    <w:name w:val="Heading 7 Char"/>
    <w:qFormat/>
    <w:rPr>
      <w:rFonts w:ascii="Arial" w:eastAsia="Arial" w:hAnsi="Arial"/>
      <w:b/>
      <w:bCs/>
      <w:i/>
      <w:iCs/>
      <w:sz w:val="22"/>
      <w:szCs w:val="22"/>
    </w:rPr>
  </w:style>
  <w:style w:type="character" w:customStyle="1" w:styleId="Heading6Char">
    <w:name w:val="Heading 6 Char"/>
    <w:qFormat/>
    <w:rPr>
      <w:rFonts w:ascii="Arial" w:eastAsia="Arial" w:hAnsi="Arial"/>
      <w:b/>
      <w:bCs/>
      <w:sz w:val="22"/>
      <w:szCs w:val="22"/>
    </w:rPr>
  </w:style>
  <w:style w:type="character" w:customStyle="1" w:styleId="Heading5Char">
    <w:name w:val="Heading 5 Char"/>
    <w:qFormat/>
    <w:rPr>
      <w:rFonts w:ascii="Arial" w:eastAsia="Arial" w:hAnsi="Arial"/>
      <w:b/>
      <w:bCs/>
    </w:rPr>
  </w:style>
  <w:style w:type="character" w:customStyle="1" w:styleId="Heading4Char">
    <w:name w:val="Heading 4 Char"/>
    <w:qFormat/>
    <w:rPr>
      <w:rFonts w:ascii="Arial" w:eastAsia="Arial" w:hAnsi="Arial"/>
      <w:b/>
      <w:bCs/>
      <w:sz w:val="26"/>
      <w:szCs w:val="26"/>
    </w:rPr>
  </w:style>
  <w:style w:type="character" w:customStyle="1" w:styleId="Heading3Char">
    <w:name w:val="Heading 3 Char"/>
    <w:qFormat/>
    <w:rPr>
      <w:rFonts w:ascii="Arial" w:eastAsia="Arial" w:hAnsi="Arial"/>
      <w:sz w:val="30"/>
      <w:szCs w:val="30"/>
    </w:rPr>
  </w:style>
  <w:style w:type="character" w:customStyle="1" w:styleId="Heading2Char">
    <w:name w:val="Heading 2 Char"/>
    <w:qFormat/>
    <w:rPr>
      <w:rFonts w:ascii="Arial" w:eastAsia="Arial" w:hAnsi="Arial"/>
      <w:sz w:val="34"/>
    </w:rPr>
  </w:style>
  <w:style w:type="character" w:customStyle="1" w:styleId="Heading1Char">
    <w:name w:val="Heading 1 Char"/>
    <w:qFormat/>
    <w:rPr>
      <w:rFonts w:ascii="Arial" w:eastAsia="Arial" w:hAnsi="Arial"/>
      <w:sz w:val="40"/>
      <w:szCs w:val="40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paragraph" w:customStyle="1" w:styleId="ab">
    <w:name w:val="Заголовок"/>
    <w:basedOn w:val="a"/>
    <w:next w:val="ac"/>
    <w:qFormat/>
    <w:pPr>
      <w:spacing w:line="288" w:lineRule="auto"/>
      <w:jc w:val="center"/>
    </w:pPr>
    <w:rPr>
      <w:sz w:val="32"/>
    </w:rPr>
  </w:style>
  <w:style w:type="paragraph" w:styleId="ac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d">
    <w:name w:val="List"/>
    <w:basedOn w:val="ac"/>
    <w:rPr>
      <w:rFonts w:ascii="PT Sans" w:hAnsi="PT Sans" w:cs="Noto Sans Devanagari"/>
    </w:rPr>
  </w:style>
  <w:style w:type="paragraph" w:styleId="ae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f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0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</w:style>
  <w:style w:type="paragraph" w:styleId="af2">
    <w:name w:val="footer"/>
    <w:basedOn w:val="a"/>
  </w:style>
  <w:style w:type="paragraph" w:styleId="20">
    <w:name w:val="Body Text 2"/>
    <w:basedOn w:val="a"/>
    <w:qFormat/>
    <w:pPr>
      <w:jc w:val="both"/>
    </w:pPr>
    <w:rPr>
      <w:sz w:val="28"/>
      <w:szCs w:val="24"/>
    </w:rPr>
  </w:style>
  <w:style w:type="paragraph" w:styleId="af3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  <w:overflowPunct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  <w:overflowPunct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4">
    <w:name w:val="Текст документа Кодекс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4">
    <w:name w:val="Текст документа Кодекс1"/>
    <w:qFormat/>
    <w:pPr>
      <w:widowControl w:val="0"/>
      <w:overflowPunct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5">
    <w:name w:val="Заголовок документа Кодекс"/>
    <w:qFormat/>
    <w:pPr>
      <w:widowControl w:val="0"/>
      <w:overflowPunct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6">
    <w:name w:val="Неформатированный текст Кодекс"/>
    <w:qFormat/>
    <w:pPr>
      <w:widowControl w:val="0"/>
      <w:overflowPunct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  <w:overflowPunct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5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overflowPunct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7">
    <w:name w:val="Balloon Text"/>
    <w:basedOn w:val="a"/>
    <w:qFormat/>
    <w:rPr>
      <w:rFonts w:ascii="Tahoma" w:eastAsia="Tahoma" w:hAnsi="Tahoma"/>
      <w:sz w:val="16"/>
      <w:szCs w:val="16"/>
      <w:lang w:eastAsia="ar-SA"/>
    </w:rPr>
  </w:style>
  <w:style w:type="paragraph" w:customStyle="1" w:styleId="af8">
    <w:name w:val="Содержимое врезки"/>
    <w:basedOn w:val="a"/>
    <w:qFormat/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styleId="afb">
    <w:name w:val="List Paragraph"/>
    <w:basedOn w:val="a"/>
    <w:qFormat/>
    <w:pPr>
      <w:ind w:left="720"/>
      <w:contextualSpacing/>
    </w:pPr>
  </w:style>
  <w:style w:type="paragraph" w:styleId="afc">
    <w:name w:val="Normal (Web)"/>
    <w:basedOn w:val="a"/>
    <w:qFormat/>
    <w:pPr>
      <w:spacing w:before="280" w:after="280"/>
    </w:pPr>
    <w:rPr>
      <w:lang w:eastAsia="ar-SA"/>
    </w:rPr>
  </w:style>
  <w:style w:type="paragraph" w:customStyle="1" w:styleId="4">
    <w:name w:val="Указатель4"/>
    <w:basedOn w:val="a"/>
    <w:qFormat/>
    <w:rPr>
      <w:lang w:eastAsia="ar-SA"/>
    </w:rPr>
  </w:style>
  <w:style w:type="paragraph" w:customStyle="1" w:styleId="30">
    <w:name w:val="Название объекта3"/>
    <w:basedOn w:val="a"/>
    <w:qFormat/>
    <w:pPr>
      <w:spacing w:before="120" w:after="120"/>
    </w:pPr>
    <w:rPr>
      <w:i/>
      <w:lang w:eastAsia="ar-SA"/>
    </w:rPr>
  </w:style>
  <w:style w:type="paragraph" w:customStyle="1" w:styleId="31">
    <w:name w:val="Указатель3"/>
    <w:basedOn w:val="a"/>
    <w:qFormat/>
    <w:rPr>
      <w:lang w:eastAsia="ar-SA"/>
    </w:rPr>
  </w:style>
  <w:style w:type="paragraph" w:customStyle="1" w:styleId="23">
    <w:name w:val="Название объекта2"/>
    <w:basedOn w:val="a"/>
    <w:qFormat/>
    <w:pPr>
      <w:spacing w:before="120" w:after="120"/>
    </w:pPr>
    <w:rPr>
      <w:i/>
      <w:lang w:eastAsia="ar-SA"/>
    </w:rPr>
  </w:style>
  <w:style w:type="paragraph" w:customStyle="1" w:styleId="24">
    <w:name w:val="Указатель2"/>
    <w:basedOn w:val="a"/>
    <w:qFormat/>
    <w:rPr>
      <w:lang w:eastAsia="ar-SA"/>
    </w:rPr>
  </w:style>
  <w:style w:type="paragraph" w:customStyle="1" w:styleId="16">
    <w:name w:val="Указатель1"/>
    <w:basedOn w:val="a"/>
    <w:qFormat/>
    <w:rPr>
      <w:rFonts w:eastAsia="Lucida Sans"/>
      <w:lang w:eastAsia="ar-SA"/>
    </w:rPr>
  </w:style>
  <w:style w:type="paragraph" w:customStyle="1" w:styleId="17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30">
    <w:name w:val="Основной текст 23"/>
    <w:basedOn w:val="a"/>
    <w:qFormat/>
    <w:pPr>
      <w:jc w:val="both"/>
    </w:pPr>
    <w:rPr>
      <w:sz w:val="28"/>
    </w:rPr>
  </w:style>
  <w:style w:type="paragraph" w:styleId="afd">
    <w:name w:val="TOC Heading"/>
    <w:qFormat/>
    <w:rPr>
      <w:rFonts w:eastAsia="Liberation Serif" w:cs="Liberation Serif"/>
      <w:sz w:val="26"/>
      <w:lang w:eastAsia="hi-IN"/>
    </w:rPr>
  </w:style>
  <w:style w:type="paragraph" w:styleId="afe">
    <w:name w:val="Intense Quote"/>
    <w:basedOn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  <w:color w:val="000000"/>
      <w:highlight w:val="white"/>
    </w:rPr>
  </w:style>
  <w:style w:type="paragraph" w:styleId="25">
    <w:name w:val="Quote"/>
    <w:basedOn w:val="a"/>
    <w:qFormat/>
    <w:pPr>
      <w:ind w:left="720" w:right="720"/>
    </w:pPr>
    <w:rPr>
      <w:i/>
    </w:rPr>
  </w:style>
  <w:style w:type="paragraph" w:styleId="aff">
    <w:name w:val="No Spacing"/>
    <w:qFormat/>
    <w:rPr>
      <w:rFonts w:eastAsia="Liberation Serif" w:cs="Liberation Serif"/>
      <w:sz w:val="26"/>
      <w:lang w:eastAsia="hi-IN"/>
    </w:r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2062</TotalTime>
  <Pages>2</Pages>
  <Words>564</Words>
  <Characters>3218</Characters>
  <Application>Microsoft Office Word</Application>
  <DocSecurity>0</DocSecurity>
  <Lines>26</Lines>
  <Paragraphs>7</Paragraphs>
  <ScaleCrop>false</ScaleCrop>
  <Company/>
  <LinksUpToDate>false</LinksUpToDate>
  <CharactersWithSpaces>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Новикова</cp:lastModifiedBy>
  <cp:revision>2</cp:revision>
  <dcterms:created xsi:type="dcterms:W3CDTF">2023-10-24T15:18:00Z</dcterms:created>
  <dcterms:modified xsi:type="dcterms:W3CDTF">2023-10-24T15:24:00Z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lastPrinted>2023-10-12T09:36:44Z</cp:lastPrinted>
  <dcterms:modified xsi:type="dcterms:W3CDTF">2023-10-12T09:38:55Z</dcterms:modified>
  <cp:revision>204</cp:revision>
  <dc:subject/>
  <dc:title>ГЛАВА АДМИНИСТРАЦИИ РЯЗАНСКОЙ ОБЛАСТИ</dc:title>
</cp:coreProperties>
</file>