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402D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октября 2023 г. № 38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EB84B2D" wp14:editId="2F28DCB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402D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D134C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D134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134C">
              <w:rPr>
                <w:rFonts w:ascii="Times New Roman" w:hAnsi="Times New Roman"/>
                <w:sz w:val="28"/>
                <w:szCs w:val="28"/>
              </w:rPr>
              <w:t>культуры» (в редакции постановлений Правительства</w:t>
            </w:r>
            <w:proofErr w:type="gramEnd"/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 41,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28.12.2016 № 331, от 08.02.2017 № 9, от 15.03.2017 № 50,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24.05.2017 № 117, от 14.06.2017 № 131, от 26.07.2017 № 179,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07.08.2017 № 183, от 08.11.2017 № 283, от 05.12.2017 № 321,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26.12.2017 № 392, от 26.12.2017 № 411, от 27.02.2018 № 36,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28.03.2018 № 69, от 06.06.2018 № 159, от 14.08.2018 № 230,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26.09.2018 № 273, от 12.11.2018 № 320, от 27.11.2018 № 335,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17.12.2018 № 364, от 26.03.2019 № 77, от 04.06.2019 № 149,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09.09.2019 № 285, от 17.10.2019 № 319, от 22.10.2019 № 328,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02.03.2020 № 29, от 10.03.2020 № 45, от 14.04.2020 № 72, 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 211,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 279,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 376,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28.06.2022 № 236, от 20.07.2022 № 263, от 26.07.2022 № 271, 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08.11.2022 № 402,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>29.11.2022 № 426, от 29.11.2022 № 427,</w:t>
            </w:r>
          </w:p>
          <w:p w:rsidR="00CD134C" w:rsidRPr="00CD134C" w:rsidRDefault="00CD134C" w:rsidP="00CD134C">
            <w:pPr>
              <w:tabs>
                <w:tab w:val="left" w:pos="0"/>
              </w:tabs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28.12.2022 № 538, от 28.12.2022 № 539, от 12.01.2023 № 1, </w:t>
            </w:r>
          </w:p>
          <w:p w:rsidR="00CD134C" w:rsidRPr="00CD134C" w:rsidRDefault="00CD134C" w:rsidP="00CD134C">
            <w:pPr>
              <w:autoSpaceDE w:val="0"/>
              <w:autoSpaceDN w:val="0"/>
              <w:adjustRightInd w:val="0"/>
              <w:spacing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14.03.2023 № 91, от 30.05.2023 № 206, от 14.07.2023 № 274, </w:t>
            </w:r>
          </w:p>
          <w:p w:rsidR="000D5EED" w:rsidRPr="00CD134C" w:rsidRDefault="00CD134C" w:rsidP="00CD134C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03.10.2023 № 368)</w:t>
            </w:r>
          </w:p>
        </w:tc>
      </w:tr>
      <w:tr w:rsidR="000D5EED" w:rsidRPr="00CD134C" w:rsidTr="002B3460">
        <w:trPr>
          <w:jc w:val="right"/>
        </w:trPr>
        <w:tc>
          <w:tcPr>
            <w:tcW w:w="5000" w:type="pct"/>
          </w:tcPr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D134C" w:rsidRPr="009501EB" w:rsidRDefault="0032465D" w:rsidP="009501EB">
            <w:pPr>
              <w:tabs>
                <w:tab w:val="left" w:pos="712"/>
                <w:tab w:val="left" w:pos="99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CD134C" w:rsidRPr="009501EB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CD134C" w:rsidRPr="009501EB">
              <w:rPr>
                <w:rFonts w:ascii="Times New Roman" w:hAnsi="Times New Roman"/>
                <w:sz w:val="28"/>
                <w:szCs w:val="28"/>
              </w:rPr>
              <w:br/>
              <w:t xml:space="preserve">от 29 октября 2014 г. № 316 «Об утверждении государственной программы </w:t>
            </w:r>
            <w:r w:rsidR="00CD134C" w:rsidRPr="009501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Рязанской области «Развитие культуры» следующие изменения: </w:t>
            </w:r>
          </w:p>
          <w:p w:rsidR="00CD134C" w:rsidRPr="00CD134C" w:rsidRDefault="009501EB" w:rsidP="00CD134C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CD134C" w:rsidRPr="00CD134C">
              <w:rPr>
                <w:rFonts w:ascii="Times New Roman" w:hAnsi="Times New Roman"/>
                <w:sz w:val="28"/>
                <w:szCs w:val="28"/>
              </w:rPr>
              <w:t>в пункте 4 слова «(в социальной сфере)» заменить словами «(в сфере цифрового развития и спорта)»;</w:t>
            </w:r>
          </w:p>
          <w:p w:rsidR="00CD134C" w:rsidRPr="009501EB" w:rsidRDefault="009501EB" w:rsidP="009501EB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</w:t>
            </w:r>
            <w:r w:rsidR="00CD134C" w:rsidRPr="009501EB">
              <w:rPr>
                <w:rFonts w:ascii="Times New Roman" w:hAnsi="Times New Roman"/>
                <w:sz w:val="28"/>
                <w:szCs w:val="28"/>
              </w:rPr>
              <w:t xml:space="preserve"> приложении №</w:t>
            </w:r>
            <w:r w:rsidR="00CD134C" w:rsidRPr="009501E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CD134C" w:rsidRPr="009501EB">
              <w:rPr>
                <w:rFonts w:ascii="Times New Roman" w:hAnsi="Times New Roman"/>
                <w:sz w:val="28"/>
                <w:szCs w:val="28"/>
              </w:rPr>
              <w:t xml:space="preserve">2:   </w:t>
            </w:r>
          </w:p>
          <w:p w:rsidR="00CD134C" w:rsidRDefault="009501EB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D134C" w:rsidRPr="009501EB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9501EB" w:rsidRPr="009501EB" w:rsidRDefault="009501EB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7366"/>
            </w:tblGrid>
            <w:tr w:rsidR="00CD134C" w:rsidRPr="00CD134C" w:rsidTr="005C65FD">
              <w:tc>
                <w:tcPr>
                  <w:tcW w:w="1059" w:type="pct"/>
                </w:tcPr>
                <w:p w:rsidR="00CD134C" w:rsidRPr="00CD134C" w:rsidRDefault="00CD134C" w:rsidP="00CD134C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1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3941" w:type="pct"/>
                </w:tcPr>
                <w:p w:rsidR="00CD134C" w:rsidRPr="00CD134C" w:rsidRDefault="00CD134C" w:rsidP="00CD134C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34C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Программы составляет 17662799,04924 тыс. рублей (15455962,14924 тыс. рублей – средства областного бюджета, 2206836,9 тыс. рублей – средства федерального бюджета)»</w:t>
                  </w:r>
                </w:p>
              </w:tc>
            </w:tr>
          </w:tbl>
          <w:p w:rsidR="009501EB" w:rsidRPr="009501EB" w:rsidRDefault="009501EB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CD134C" w:rsidRPr="00CD134C" w:rsidRDefault="009501EB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D134C" w:rsidRPr="00CD134C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CD134C" w:rsidRP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4, 6 цифры «2839202,10887», «1030506,66071», «761152,30887», «277260,10795» заменить соответственно цифрами «2840021,49036», «1031326,0422», «761971,69036», «278079,48944»;</w:t>
            </w:r>
          </w:p>
          <w:p w:rsidR="00CD134C" w:rsidRP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4, 6 подпункта 1.1 цифры «2826661,90167», «1027144,80471», «754762,10167», «275898,25195» заменить соответственно цифрами «2827481,28316», «1027964,1862», «755581,48316», «276717,63344»;</w:t>
            </w:r>
          </w:p>
          <w:p w:rsidR="00CD134C" w:rsidRP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4, 6 подпункта 1.1.2 цифры «2511691,88056», «874540,39747», «730124,58056», «261626,44471» заменить соответственно цифрами «2512511,26205», «875359,77896», «730943,96205», «262445,8262»;</w:t>
            </w:r>
          </w:p>
          <w:p w:rsidR="00CD134C" w:rsidRP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4, 6, 7 пункта 3 цифры «14890682,73071», «2278051,30048», «1932137,23269», «14761895,63071», «2245790,80048», «1901519,83269» заменить соответственно цифрами «14818168,16930», «2318582,63907», «1819091,33269», «14689381,06930», «2286322,13907», «1788473,93269»;</w:t>
            </w:r>
          </w:p>
          <w:p w:rsidR="00CD134C" w:rsidRP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4, 6, 7 строки «Итого по Программе» цифры «17734494,22916», «3310415,98609», «2856700,07476», «15527657,32916», «2524908,93333», «2133409,87476» заменить соответственно цифрами «17662799,04924», «3351766,70617», «2743654,17476», «15455962,14924», «2566259,65341», «2020363,97476»;</w:t>
            </w:r>
          </w:p>
          <w:p w:rsidR="00CD134C" w:rsidRPr="00CD134C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4, 6, 7 строки «Минкультуры РО» цифры «15188292,56152», «2383977,47833», «2081564,50201» заменить соответственно цифрами «15116597,3816», «2425328,19841», «1968518,60201»;</w:t>
            </w:r>
          </w:p>
          <w:p w:rsidR="00CD134C" w:rsidRPr="0032465D" w:rsidRDefault="0032465D" w:rsidP="0032465D">
            <w:pPr>
              <w:tabs>
                <w:tab w:val="left" w:pos="105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D134C" w:rsidRPr="0032465D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подразделе 5.1 «Подпрограмма № 1 «Развитие музеев Рязанской области»: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цифры «157830,65209», «85102,25251» заменить соответственно цифрами «157668,77712», «84940,37754»;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подпункта 3.1.1 цифры «40010,22758», «4595» заменить соответственно цифрами «39848,35261», «4433,12503»;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цифры «164152,49586», «33007,16528» заменить соответственно цифрами «170408,99586», «39263,66528»;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 подпункта 3.2.3 цифры «132096,97521», «9929,43333» заменить соответственно цифрами «138353,47521», «16185,93333»;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цифры «2481576,45811», «339749,94956» заменить соответственно цифрами «2487562,72028», «345736,21173»;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подпункта 3.3.4 цифры «2439806,50565», «336724,06156» заменить соответственно цифрами «2445792,76782», «342710,32373»;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«3014559,44438», «457934,49735» заменить соответственно цифрами «3026640,33158», «470015,38455»;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Pr="00CD134C">
              <w:rPr>
                <w:rFonts w:ascii="Times New Roman" w:hAnsi="Times New Roman"/>
                <w:spacing w:val="-4"/>
                <w:sz w:val="28"/>
                <w:szCs w:val="28"/>
              </w:rPr>
              <w:t>3330729,46549», «610838,90459», «3040396,96549», «472506,30459»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</w:t>
            </w:r>
            <w:r w:rsidRPr="00CD134C">
              <w:rPr>
                <w:rFonts w:ascii="Times New Roman" w:hAnsi="Times New Roman"/>
                <w:spacing w:val="-4"/>
                <w:sz w:val="28"/>
                <w:szCs w:val="28"/>
              </w:rPr>
              <w:t>цифрами «3342810,35269», «622919,79179», «3052477,85269», «484587,19179»;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в подразделе 5.3 «Подпрограмма № 3 «Развитие культуры»: 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D13643" w:rsidRPr="00CD134C" w:rsidRDefault="00CD134C" w:rsidP="002C2859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пункт 1.1 изложить в следующей редакции:</w:t>
            </w:r>
          </w:p>
        </w:tc>
      </w:tr>
    </w:tbl>
    <w:p w:rsidR="00CD134C" w:rsidRPr="00CD134C" w:rsidRDefault="00CD134C">
      <w:pPr>
        <w:rPr>
          <w:rFonts w:ascii="Times New Roman" w:hAnsi="Times New Roman"/>
          <w:sz w:val="6"/>
          <w:szCs w:val="6"/>
        </w:rPr>
      </w:pPr>
    </w:p>
    <w:tbl>
      <w:tblPr>
        <w:tblW w:w="9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352"/>
        <w:gridCol w:w="448"/>
        <w:gridCol w:w="504"/>
        <w:gridCol w:w="742"/>
        <w:gridCol w:w="443"/>
        <w:gridCol w:w="443"/>
        <w:gridCol w:w="443"/>
        <w:gridCol w:w="443"/>
        <w:gridCol w:w="445"/>
        <w:gridCol w:w="443"/>
        <w:gridCol w:w="443"/>
        <w:gridCol w:w="443"/>
        <w:gridCol w:w="445"/>
        <w:gridCol w:w="443"/>
        <w:gridCol w:w="438"/>
      </w:tblGrid>
      <w:tr w:rsidR="002C2859" w:rsidRPr="00CD134C" w:rsidTr="002C2859">
        <w:trPr>
          <w:trHeight w:val="196"/>
          <w:tblHeader/>
        </w:trPr>
        <w:tc>
          <w:tcPr>
            <w:tcW w:w="71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352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42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2C2859" w:rsidRPr="00CD134C" w:rsidTr="002C2859">
        <w:trPr>
          <w:cantSplit/>
          <w:trHeight w:val="1594"/>
        </w:trPr>
        <w:tc>
          <w:tcPr>
            <w:tcW w:w="714" w:type="dxa"/>
            <w:vMerge w:val="restart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</w:tc>
        <w:tc>
          <w:tcPr>
            <w:tcW w:w="2352" w:type="dxa"/>
            <w:vMerge w:val="restart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44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2512511,26205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781529,3794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875359,77896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861767,15645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2000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C2859" w:rsidRPr="00CD134C" w:rsidTr="002C2859">
        <w:trPr>
          <w:cantSplit/>
          <w:trHeight w:val="1483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52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453479,48704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177324,06673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92866,91386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181288,50645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2000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C2859" w:rsidRPr="00CD134C" w:rsidTr="002C2859">
        <w:trPr>
          <w:cantSplit/>
          <w:trHeight w:val="1483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52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227565,90358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62855,11267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119680,34091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45030,45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C2859" w:rsidRPr="00CD134C" w:rsidTr="002C2859">
        <w:tblPrEx>
          <w:tblBorders>
            <w:insideH w:val="nil"/>
          </w:tblBorders>
        </w:tblPrEx>
        <w:trPr>
          <w:cantSplit/>
          <w:trHeight w:val="1423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52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ОБ**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49898,57143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49898,57143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C2859" w:rsidRPr="00CD134C" w:rsidTr="002C2859">
        <w:tblPrEx>
          <w:tblBorders>
            <w:insideH w:val="nil"/>
          </w:tblBorders>
        </w:tblPrEx>
        <w:trPr>
          <w:cantSplit/>
          <w:trHeight w:val="2364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52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8145,05276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C2859" w:rsidRPr="00CD134C" w:rsidTr="002C2859">
        <w:tblPrEx>
          <w:tblBorders>
            <w:insideH w:val="nil"/>
          </w:tblBorders>
        </w:tblPrEx>
        <w:trPr>
          <w:cantSplit/>
          <w:trHeight w:val="1246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52" w:type="dxa"/>
            <w:vMerge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vMerge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1665137,3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541350,2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488338,9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635448,2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C2859" w:rsidRPr="00CD134C" w:rsidTr="002C2859">
        <w:tblPrEx>
          <w:tblBorders>
            <w:insideH w:val="nil"/>
          </w:tblBorders>
        </w:tblPrEx>
        <w:trPr>
          <w:cantSplit/>
          <w:trHeight w:val="1200"/>
        </w:trPr>
        <w:tc>
          <w:tcPr>
            <w:tcW w:w="71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ФБ***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116430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116430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CD134C" w:rsidRDefault="00CD134C" w:rsidP="00CD134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CD134C" w:rsidRPr="00CD134C" w:rsidRDefault="00CD134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D134C" w:rsidRPr="00CD134C" w:rsidTr="002B3460">
        <w:trPr>
          <w:jc w:val="right"/>
        </w:trPr>
        <w:tc>
          <w:tcPr>
            <w:tcW w:w="5000" w:type="pct"/>
          </w:tcPr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подпункт 1.1.3 изложить в следующей редакции:</w:t>
            </w:r>
          </w:p>
        </w:tc>
      </w:tr>
    </w:tbl>
    <w:p w:rsidR="00CD134C" w:rsidRPr="00CD134C" w:rsidRDefault="00CD134C">
      <w:pPr>
        <w:rPr>
          <w:rFonts w:ascii="Times New Roman" w:hAnsi="Times New Roman"/>
          <w:sz w:val="6"/>
          <w:szCs w:val="6"/>
        </w:rPr>
      </w:pPr>
    </w:p>
    <w:tbl>
      <w:tblPr>
        <w:tblW w:w="9618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2352"/>
        <w:gridCol w:w="448"/>
        <w:gridCol w:w="504"/>
        <w:gridCol w:w="735"/>
        <w:gridCol w:w="443"/>
        <w:gridCol w:w="444"/>
        <w:gridCol w:w="444"/>
        <w:gridCol w:w="444"/>
        <w:gridCol w:w="445"/>
        <w:gridCol w:w="444"/>
        <w:gridCol w:w="444"/>
        <w:gridCol w:w="444"/>
        <w:gridCol w:w="445"/>
        <w:gridCol w:w="444"/>
        <w:gridCol w:w="438"/>
      </w:tblGrid>
      <w:tr w:rsidR="002C2859" w:rsidRPr="00CD134C" w:rsidTr="002C2859">
        <w:trPr>
          <w:cantSplit/>
          <w:trHeight w:val="196"/>
        </w:trPr>
        <w:tc>
          <w:tcPr>
            <w:tcW w:w="700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352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35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2C2859" w:rsidRPr="00CD134C" w:rsidTr="002C2859">
        <w:trPr>
          <w:cantSplit/>
          <w:trHeight w:val="1856"/>
        </w:trPr>
        <w:tc>
          <w:tcPr>
            <w:tcW w:w="700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«1.1.3</w:t>
            </w:r>
          </w:p>
        </w:tc>
        <w:tc>
          <w:tcPr>
            <w:tcW w:w="2352" w:type="dxa"/>
            <w:tcMar>
              <w:top w:w="28" w:type="dxa"/>
              <w:bottom w:w="28" w:type="dxa"/>
            </w:tcMar>
          </w:tcPr>
          <w:p w:rsidR="00CD134C" w:rsidRPr="00CD134C" w:rsidRDefault="00CD134C" w:rsidP="00CD134C">
            <w:pPr>
              <w:widowContro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Минкультуры РО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Минкультуры РО</w:t>
            </w: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proofErr w:type="gramStart"/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6569,24149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349,86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2219,38149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2000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2000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CD134C" w:rsidRDefault="00CD134C" w:rsidP="002C285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134C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CD134C" w:rsidRPr="00CD134C" w:rsidRDefault="00CD134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CD134C" w:rsidRPr="00CD134C" w:rsidTr="002B3460">
        <w:trPr>
          <w:jc w:val="right"/>
        </w:trPr>
        <w:tc>
          <w:tcPr>
            <w:tcW w:w="5000" w:type="pct"/>
            <w:gridSpan w:val="3"/>
          </w:tcPr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подпунктах 1.1.8</w:t>
            </w:r>
            <w:r w:rsidR="002C2859">
              <w:rPr>
                <w:rFonts w:ascii="Times New Roman" w:hAnsi="Times New Roman"/>
                <w:sz w:val="28"/>
                <w:szCs w:val="28"/>
              </w:rPr>
              <w:t>,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1.1.8.1 слова «ФБ**» заменить словами «ФБ***»;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строки «Итого по региональным проектам» цифры «2523032,08776», «877602,25347», «735314,78776», «262688,30071» заменить соответственно цифрами «2523851,46925», «878421,63496», «736134,16925», «263507,6822»;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9, 10 цифры «2447458,05994», «340504,92181», «315208,50594» заменить соответственно цифрами «2455722,08982», «345384,85169», «318592,60594»;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в графах 7, 9, 10 подпункта 3.1.1 цифры «18648,33334», «3648,33334», знак </w:t>
            </w:r>
            <w:proofErr w:type="gramStart"/>
            <w:r w:rsidRPr="00CD134C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CD134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«24932,43334», «6548,33334», «3384,1»;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подпункта 3.1.4 цифры «2363029,02102», «319175,28733» заменить соответственно цифрами «2365008,9509», «321155,21721»;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pacing w:val="-6"/>
                <w:sz w:val="28"/>
                <w:szCs w:val="28"/>
              </w:rPr>
              <w:t>в графах 7, 9</w:t>
            </w:r>
            <w:r w:rsidR="002C2859" w:rsidRPr="002C2859">
              <w:rPr>
                <w:rFonts w:ascii="Times New Roman" w:hAnsi="Times New Roman"/>
                <w:spacing w:val="-6"/>
                <w:sz w:val="28"/>
                <w:szCs w:val="28"/>
              </w:rPr>
              <w:t>, 10</w:t>
            </w:r>
            <w:r w:rsidRPr="00CD134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цифры «6476976,73456», «993304,74525», «868038,48316»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«6371288,53456», «1004046,54525», «751608,48316»;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pacing w:val="-4"/>
                <w:sz w:val="28"/>
                <w:szCs w:val="28"/>
              </w:rPr>
              <w:t>в графах 7, 9</w:t>
            </w:r>
            <w:r w:rsidR="002C2859" w:rsidRPr="002C2859">
              <w:rPr>
                <w:rFonts w:ascii="Times New Roman" w:hAnsi="Times New Roman"/>
                <w:spacing w:val="-4"/>
                <w:sz w:val="28"/>
                <w:szCs w:val="28"/>
              </w:rPr>
              <w:t>, 10</w:t>
            </w:r>
            <w:r w:rsidRPr="00CD134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подпункта 3.2.2 цифры «6100901,4961», «853860,43182»,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«845880,08316» заменить соответственно цифрами «5995213,2961», «864602,23182», «729450,08316»;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цифры «344232,21011», «118859,96735» заменить соответственно цифрами «348912,82862», «123540,58586»;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 подпункта 3.3.2 цифры «71687,01087», «6646,88286» заменить соответственно цифрами «77187,01087», «12146,88286»;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подпункта 3.3.3 цифры «44210,52964», «5890,2431» заменить соответственно цифрами «43391,14815», «5070,86161»;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цифры «394320,28406», «57517,0035» заменить соответственно цифрами «402421,08406», «65617,80350»;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 подпункта 3.4.1 цифры «9004,86478», «3470,79478» заменить соответственно цифрами «17105,66478», «11571,59478»;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в графах 7, 9, 10 строки «Всего по комплексу процессных мероприятий» цифры «11400479,24327», «1774608,09796», «1543967,0138», </w:t>
            </w:r>
            <w:r w:rsidRPr="00CD134C">
              <w:rPr>
                <w:rFonts w:ascii="Times New Roman" w:hAnsi="Times New Roman"/>
                <w:spacing w:val="-4"/>
                <w:sz w:val="28"/>
                <w:szCs w:val="28"/>
              </w:rPr>
              <w:t>«11271692,14327», «1742347,59796», «1513349,6138» заменить соответственно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цифрами «11315836,49166», «1803011,24635», «1430921,1138», «11187049,39166», «1770750,74635», «1400303,7138»;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в графах 7, 9, 10 строки «Итого по подпрограмме» цифры «13928120,72061», «2654068,37633», «2409713,14781», «12011616,32061», «2006893,92357», «1741647,54781» заменить соответственно цифрами «13844297,35049», «2683290,90621», «2296667,24781», «11927792,95049», «2036116,45345», «1628601,64781»;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сноску «**» изложить в следующей редакции: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4C">
              <w:rPr>
                <w:rFonts w:ascii="Times New Roman" w:hAnsi="Times New Roman"/>
                <w:sz w:val="24"/>
                <w:szCs w:val="24"/>
              </w:rPr>
              <w:t xml:space="preserve">«** Средства областного бюджета в объеме, необходимом для соблюдения уровня </w:t>
            </w:r>
            <w:proofErr w:type="spellStart"/>
            <w:r w:rsidRPr="00CD134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CD134C">
              <w:rPr>
                <w:rFonts w:ascii="Times New Roman" w:hAnsi="Times New Roman"/>
                <w:sz w:val="24"/>
                <w:szCs w:val="24"/>
              </w:rPr>
              <w:t xml:space="preserve"> расходного обязательства, установленного в соглашении о предоставлении из федерального бюджета межбюджетного трансферта, перераспределенные в соответствии с распоряжением Правительства Рязанской области от 22.08.2023 № 506-р.»;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дополнить сноской «***» следующего содержания: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4C">
              <w:rPr>
                <w:rFonts w:ascii="Times New Roman" w:hAnsi="Times New Roman"/>
                <w:sz w:val="24"/>
                <w:szCs w:val="24"/>
              </w:rPr>
              <w:t xml:space="preserve">«*** Средства бюджетного кредита на пополнение остатка средств на едином счете бюджета в целях опережающего финансового обеспечения реконструкции объекта, находящегося в государственной собственности Рязанской области, перераспределенные в </w:t>
            </w:r>
            <w:r w:rsidRPr="00CD134C">
              <w:rPr>
                <w:rFonts w:ascii="Times New Roman" w:hAnsi="Times New Roman"/>
                <w:spacing w:val="-4"/>
                <w:sz w:val="24"/>
                <w:szCs w:val="24"/>
              </w:rPr>
              <w:t>соответствии с распоряжением Правительства Рязанской области от 11.08.2023 г. № 477-р.»;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 подраздела 5.4 «Подпрограмма № 4 «Обеспечение условий реализации программы»: 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по тексту граф 7, 9 пункта 3.1, подпункта 3.1.1, строк «Всего по комплексу процессных мероприятий», «Итого по подпрограмме» цифры «364728,05855», «45508,70517» заменить соответственно цифрами «364775,36155», «45556,00817».</w:t>
            </w:r>
          </w:p>
          <w:p w:rsidR="00CD134C" w:rsidRP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CD134C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CD134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D134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D134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2C2859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23" w:rsidRDefault="00622723">
      <w:r>
        <w:separator/>
      </w:r>
    </w:p>
  </w:endnote>
  <w:endnote w:type="continuationSeparator" w:id="0">
    <w:p w:rsidR="00622723" w:rsidRDefault="0062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23" w:rsidRDefault="00622723">
      <w:r>
        <w:separator/>
      </w:r>
    </w:p>
  </w:footnote>
  <w:footnote w:type="continuationSeparator" w:id="0">
    <w:p w:rsidR="00622723" w:rsidRDefault="0062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B6BAC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A63F99"/>
    <w:multiLevelType w:val="hybridMultilevel"/>
    <w:tmpl w:val="B1FEF228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6D69F3"/>
    <w:multiLevelType w:val="hybridMultilevel"/>
    <w:tmpl w:val="71B21530"/>
    <w:lvl w:ilvl="0" w:tplc="97E810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FifhTWLeAEXY2jwIK6wV1hKqRk=" w:salt="6M6TvXCAY/CGe+Z/VeSE+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402D2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2859"/>
    <w:rsid w:val="002C6B4B"/>
    <w:rsid w:val="002E2737"/>
    <w:rsid w:val="002F1E81"/>
    <w:rsid w:val="00310D92"/>
    <w:rsid w:val="003160CB"/>
    <w:rsid w:val="003222A3"/>
    <w:rsid w:val="0032465D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2723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501EB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34C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6BAC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CD13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D1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CD1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CD13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D1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CD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2023-10-19T07:25:00Z</dcterms:created>
  <dcterms:modified xsi:type="dcterms:W3CDTF">2023-10-20T12:52:00Z</dcterms:modified>
</cp:coreProperties>
</file>