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143C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 октября 2023 г. № 40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8704F12" wp14:editId="379652D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143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956695" w:rsidTr="0095669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5669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области от 21 декабря 2021 г. № 393 «Об утверждении Положения</w:t>
            </w:r>
          </w:p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о региональном государственном экологическом контроле (надзоре),</w:t>
            </w:r>
          </w:p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Положения о региональном государственном геологическом контроле</w:t>
            </w:r>
          </w:p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>надзоре</w:t>
            </w:r>
            <w:proofErr w:type="gramEnd"/>
            <w:r w:rsidRPr="00956695">
              <w:rPr>
                <w:rFonts w:ascii="Times New Roman" w:hAnsi="Times New Roman"/>
                <w:sz w:val="28"/>
                <w:szCs w:val="28"/>
              </w:rPr>
              <w:t>), Положения о региональном государственном контроле</w:t>
            </w:r>
          </w:p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 xml:space="preserve">(надзоре) в области охраны и использования особо </w:t>
            </w: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>охраняемых</w:t>
            </w:r>
            <w:proofErr w:type="gramEnd"/>
          </w:p>
          <w:p w:rsid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>природных территорий» (в редакции постановления Правительства</w:t>
            </w:r>
            <w:proofErr w:type="gramEnd"/>
          </w:p>
          <w:p w:rsidR="000D5EED" w:rsidRPr="00956695" w:rsidRDefault="00D06035" w:rsidP="00956695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Рязанской области от 22.02.2022 № 54)</w:t>
            </w:r>
          </w:p>
        </w:tc>
      </w:tr>
      <w:tr w:rsidR="000D5EED" w:rsidRPr="00956695" w:rsidTr="00956695">
        <w:trPr>
          <w:jc w:val="right"/>
        </w:trPr>
        <w:tc>
          <w:tcPr>
            <w:tcW w:w="5000" w:type="pct"/>
            <w:gridSpan w:val="3"/>
          </w:tcPr>
          <w:p w:rsidR="000D5EED" w:rsidRPr="00956695" w:rsidRDefault="000D5EED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5705F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F5705F" w:rsidRPr="00956695">
              <w:rPr>
                <w:rFonts w:ascii="Times New Roman" w:hAnsi="Times New Roman"/>
                <w:sz w:val="28"/>
                <w:szCs w:val="28"/>
              </w:rPr>
              <w:t>п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 от</w:t>
            </w:r>
            <w:r w:rsidR="00956695">
              <w:rPr>
                <w:rFonts w:ascii="Times New Roman" w:hAnsi="Times New Roman"/>
                <w:sz w:val="28"/>
                <w:szCs w:val="28"/>
              </w:rPr>
              <w:br/>
            </w:r>
            <w:r w:rsidRPr="00956695">
              <w:rPr>
                <w:rFonts w:ascii="Times New Roman" w:hAnsi="Times New Roman"/>
                <w:sz w:val="28"/>
                <w:szCs w:val="28"/>
              </w:rPr>
              <w:t>21 декабря 2021 г. № 393 «Об утверждении Положения о региональном государственном экологическом контроле (надзоре), Положения о региональном государственном геологическом контроле (надзоре), Положения о региональном государственном контроле (надзоре) в области охраны и использования особо охраняемых природных территорий» следующие изменения:</w:t>
            </w:r>
          </w:p>
          <w:p w:rsidR="00E36F1F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5">
              <w:r w:rsidR="00F5705F" w:rsidRPr="00956695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="00F5705F" w:rsidRPr="0095669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: «Об отдельных видах регионального государственного контроля (надзора)»;</w:t>
            </w:r>
          </w:p>
          <w:p w:rsidR="00D06035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2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) в преамбуле слова «статьей 14» заменить словами «статьей 37»;</w:t>
            </w:r>
          </w:p>
          <w:p w:rsidR="00B92C09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 xml:space="preserve">3)  </w:t>
            </w:r>
            <w:hyperlink r:id="rId16">
              <w:r w:rsidRPr="00956695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</w:hyperlink>
            <w:r w:rsidRPr="00956695">
              <w:rPr>
                <w:rFonts w:ascii="Times New Roman" w:hAnsi="Times New Roman"/>
                <w:sz w:val="28"/>
                <w:szCs w:val="28"/>
              </w:rPr>
              <w:t xml:space="preserve"> 6 изложить в следующей редакции:</w:t>
            </w:r>
          </w:p>
          <w:p w:rsidR="00B92C09" w:rsidRPr="00956695" w:rsidRDefault="0095669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2C09" w:rsidRPr="00956695">
              <w:rPr>
                <w:rFonts w:ascii="Times New Roman" w:hAnsi="Times New Roman"/>
                <w:sz w:val="28"/>
                <w:szCs w:val="28"/>
              </w:rPr>
              <w:t>6. Контроль за исполнением настоящего постановления возложить на первого заместителя Председателя Правительства Рязанской области</w:t>
            </w:r>
            <w:proofErr w:type="gramStart"/>
            <w:r w:rsidR="00B92C09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92C09" w:rsidRPr="00956695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B92C09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4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) в приложении № 1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92C09" w:rsidRPr="00956695" w:rsidRDefault="00E057EA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-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в подпункте «г» пункта 16 слова «государственной власти» исключить;</w:t>
            </w:r>
          </w:p>
          <w:p w:rsidR="00D06035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-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 xml:space="preserve"> пункт 20 изложить в следующей редакции: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«20.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Индикаторами риска нарушения обязательных требований при осуществлении регионального государственного экологического контроля являются:</w:t>
            </w:r>
          </w:p>
          <w:p w:rsidR="00BB3C35" w:rsidRPr="00956695" w:rsidRDefault="0095669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 xml:space="preserve">получение в ходе государственного мониторинга атмосферного воздуха информации о  превышении гигиенических нормативов качества 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lastRenderedPageBreak/>
              <w:t>атмосферного воздуха на территориях, прилегающих к объектам, оказывающим негативное воздействие на окружающую среду, подлежащим региональному государственному экологическому контролю (за границей санитарно-защитной зоны) три и более раза в течение одной недели в одном месте при схожих погодных условиях (за исключением превышений в пределах технической погрешности измерений);</w:t>
            </w:r>
            <w:r w:rsidR="000D5EED"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2) получение по результатам лабораторных исследований информации о превышении нормативов качества природной воды поверхностных водных объектов, в которые осуществляется сброс подлежащими региональному государственному экологическому контролю объектами, оказывающем негативное воздействие на окружающую среду, на территориях, прилегающих к указанным объектам</w:t>
            </w:r>
            <w:proofErr w:type="gramStart"/>
            <w:r w:rsidR="00E36F1F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»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;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D06035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5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) в приложении № 2: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- пункт 8 изложить в следующей редакции:</w:t>
            </w:r>
          </w:p>
          <w:p w:rsidR="00D06035" w:rsidRPr="00956695" w:rsidRDefault="0095669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«8. 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Объектами регионального государственного геологического контроля являются: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деятельность, действия (бездействие) организаций и граждан в области использования и охраны недр на участках недр местного значения, в рамках которых должны соблюдаться обязательные требования;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участки недр местного значения (далее соответственно – контролируемые лица, объекты контроля)</w:t>
            </w:r>
            <w:proofErr w:type="gramStart"/>
            <w:r w:rsidR="00E057EA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956695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«14.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Критериями риска в рамках осуществления регионального государственного геологического контроля являются: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а) для категории значительного риска: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осуществление на объекте контроля разведки и (или) добычи общераспространенных полезных ископаемых;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б) для категории среднего риска: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осуществление на объекте контроля разведки и (или) добычи подземных вод в объеме от 101 </w:t>
            </w:r>
            <w:r w:rsidR="00270A5F" w:rsidRPr="00956695">
              <w:rPr>
                <w:rFonts w:ascii="Times New Roman" w:hAnsi="Times New Roman"/>
                <w:sz w:val="28"/>
                <w:szCs w:val="28"/>
              </w:rPr>
              <w:t>кубического метра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 xml:space="preserve"> в сутки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до 500 </w:t>
            </w:r>
            <w:r w:rsidR="00F5705F" w:rsidRPr="00956695">
              <w:rPr>
                <w:rFonts w:ascii="Times New Roman" w:hAnsi="Times New Roman"/>
                <w:sz w:val="28"/>
                <w:szCs w:val="28"/>
              </w:rPr>
              <w:t>кубических метров в сутки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в) для категории умеренного риска: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осуществление на объекте контроля разведки и (или) добычи подземных вод в объеме не более 100 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кубических метров в сутки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г) для категории низкого риска: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осуществление на объекте контроля геологического изучения недр с целью поиска и оценки полезных ископаемых</w:t>
            </w:r>
            <w:proofErr w:type="gramStart"/>
            <w:r w:rsidR="00E36F1F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06035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>-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в первом абзаце пункта 15 слова «среднего, умеренного»</w:t>
            </w:r>
            <w:r w:rsidR="00EF03E0" w:rsidRPr="009566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 xml:space="preserve">«значительного, среднего» заменить </w:t>
            </w:r>
            <w:r w:rsidR="00EF03E0" w:rsidRPr="00956695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словами «значите</w:t>
            </w:r>
            <w:r w:rsidR="00EF03E0" w:rsidRPr="00956695">
              <w:rPr>
                <w:rFonts w:ascii="Times New Roman" w:hAnsi="Times New Roman"/>
                <w:sz w:val="28"/>
                <w:szCs w:val="28"/>
              </w:rPr>
              <w:t xml:space="preserve">льного, среднего, умеренного», 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«высокого, значите</w:t>
            </w:r>
            <w:r w:rsidR="00EF03E0" w:rsidRPr="00956695">
              <w:rPr>
                <w:rFonts w:ascii="Times New Roman" w:hAnsi="Times New Roman"/>
                <w:sz w:val="28"/>
                <w:szCs w:val="28"/>
              </w:rPr>
              <w:t>льного, среднего»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- пункт 18 изложить в следующей редакции: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«18.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 xml:space="preserve">Объекты контроля, подлежащие отнесению в соответствии с пунктами 14 и 15 настоящего Положения к категориям высокого, значительного, среднего риска, подлежат отнесению соответственно к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lastRenderedPageBreak/>
              <w:t>категориям значительного, среднего, умеренного риска при отсутствии в течение 3 лет, предшествующих дате принятия решения об отнесении объекта контроля к категории риска, вступивших в законную силу решений, предусмотренных пунктом 16 настоящего Положения, и одновременном соблюдении требований законодательства</w:t>
            </w:r>
            <w:proofErr w:type="gramEnd"/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о недрах</w:t>
            </w:r>
            <w:proofErr w:type="gramStart"/>
            <w:r w:rsidR="00F5705F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- пункт 20 изложить в следующей редакции: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«20.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Индикаторами риска нарушения обязательных требований при осуществлении регионального государственного геологического контроля являются: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1</w:t>
            </w:r>
            <w:r w:rsidR="00E057EA" w:rsidRPr="0095669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получение контрольным </w:t>
            </w:r>
            <w:r w:rsidR="00680F40" w:rsidRPr="00956695">
              <w:rPr>
                <w:rFonts w:ascii="Times New Roman" w:hAnsi="Times New Roman"/>
                <w:sz w:val="28"/>
                <w:szCs w:val="28"/>
              </w:rPr>
              <w:t>органом из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 xml:space="preserve"> налоговых органов </w:t>
            </w:r>
            <w:r w:rsidR="00950B57" w:rsidRPr="00956695">
              <w:rPr>
                <w:rFonts w:ascii="Times New Roman" w:hAnsi="Times New Roman"/>
                <w:sz w:val="28"/>
                <w:szCs w:val="28"/>
              </w:rPr>
              <w:t xml:space="preserve">информации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о расхождении в данных об объеме добытого </w:t>
            </w:r>
            <w:r w:rsidR="00950B57" w:rsidRPr="00956695">
              <w:rPr>
                <w:rFonts w:ascii="Times New Roman" w:hAnsi="Times New Roman"/>
                <w:sz w:val="28"/>
                <w:szCs w:val="28"/>
              </w:rPr>
              <w:t xml:space="preserve">контролируемым лицом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полезного ископаемого и сумме уплаченного </w:t>
            </w:r>
            <w:r w:rsidR="00950B57" w:rsidRPr="00956695">
              <w:rPr>
                <w:rFonts w:ascii="Times New Roman" w:hAnsi="Times New Roman"/>
                <w:sz w:val="28"/>
                <w:szCs w:val="28"/>
              </w:rPr>
              <w:t xml:space="preserve">им 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налога на добычу полезных ископаемых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>2) наличие признаков ведения на земельном участке</w:t>
            </w:r>
            <w:r w:rsidR="00F64260" w:rsidRPr="00956695">
              <w:rPr>
                <w:rFonts w:ascii="Times New Roman" w:hAnsi="Times New Roman"/>
                <w:sz w:val="28"/>
                <w:szCs w:val="28"/>
              </w:rPr>
              <w:t xml:space="preserve"> в границах 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участ</w:t>
            </w:r>
            <w:r w:rsidR="00950B57" w:rsidRPr="00956695">
              <w:rPr>
                <w:rFonts w:ascii="Times New Roman" w:hAnsi="Times New Roman"/>
                <w:sz w:val="28"/>
                <w:szCs w:val="28"/>
              </w:rPr>
              <w:t>к</w:t>
            </w:r>
            <w:r w:rsidR="00F64260" w:rsidRPr="00956695">
              <w:rPr>
                <w:rFonts w:ascii="Times New Roman" w:hAnsi="Times New Roman"/>
                <w:sz w:val="28"/>
                <w:szCs w:val="28"/>
              </w:rPr>
              <w:t>а недр, предоставленного</w:t>
            </w:r>
            <w:r w:rsidR="00950B57"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 xml:space="preserve">в пользование контролируемому лицу, </w:t>
            </w:r>
            <w:r w:rsidR="00950B57"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работ, связанных с геологическим изучением и (или) разведкой и добычей полезных ископаемых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выявленных на основании дистанционного зондирования Земли из космоса, при отсутствии данных о наличии </w:t>
            </w:r>
            <w:r w:rsidR="00475895" w:rsidRPr="00956695">
              <w:rPr>
                <w:rFonts w:ascii="Times New Roman" w:hAnsi="Times New Roman"/>
                <w:sz w:val="28"/>
                <w:szCs w:val="28"/>
              </w:rPr>
              <w:t xml:space="preserve">у контролируемого лица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лицензии на пол</w:t>
            </w:r>
            <w:r w:rsidR="00270A5F" w:rsidRPr="00956695">
              <w:rPr>
                <w:rFonts w:ascii="Times New Roman" w:hAnsi="Times New Roman"/>
                <w:sz w:val="28"/>
                <w:szCs w:val="28"/>
              </w:rPr>
              <w:t>ьзование недрами, утвержденного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технического </w:t>
            </w:r>
            <w:r w:rsidR="00270A5F" w:rsidRPr="00956695">
              <w:rPr>
                <w:rFonts w:ascii="Times New Roman" w:hAnsi="Times New Roman"/>
                <w:sz w:val="28"/>
                <w:szCs w:val="28"/>
              </w:rPr>
              <w:t>проекта разработки месторождений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895" w:rsidRPr="00956695">
              <w:rPr>
                <w:rFonts w:ascii="Times New Roman" w:hAnsi="Times New Roman"/>
                <w:sz w:val="28"/>
                <w:szCs w:val="28"/>
              </w:rPr>
              <w:t xml:space="preserve">полезных ископаемых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и заключения государственной экспертизы запасов</w:t>
            </w:r>
            <w:proofErr w:type="gramEnd"/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полезных ископаемых и подземных вод;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6695">
              <w:rPr>
                <w:rFonts w:ascii="Times New Roman" w:hAnsi="Times New Roman"/>
                <w:sz w:val="28"/>
                <w:szCs w:val="28"/>
              </w:rPr>
              <w:t>3)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получение контрольным органом информации, содержащейся в обращениях граждан, организаций, органов государственной власти, органов местного самоуправления, указывающей на отклонение от условий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 xml:space="preserve"> пользования </w:t>
            </w:r>
            <w:r w:rsidR="00475895" w:rsidRPr="00956695">
              <w:rPr>
                <w:rFonts w:ascii="Times New Roman" w:hAnsi="Times New Roman"/>
                <w:sz w:val="28"/>
                <w:szCs w:val="28"/>
              </w:rPr>
              <w:t>участками недр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, предусмотренных лицензией на пользование недрами, </w:t>
            </w:r>
            <w:r w:rsidR="00270A5F" w:rsidRPr="00956695">
              <w:rPr>
                <w:rFonts w:ascii="Times New Roman" w:hAnsi="Times New Roman"/>
                <w:sz w:val="28"/>
                <w:szCs w:val="28"/>
              </w:rPr>
              <w:t>утвержденного</w:t>
            </w:r>
            <w:r w:rsidR="00F5705F"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техническ</w:t>
            </w:r>
            <w:r w:rsidR="00F5705F" w:rsidRPr="00956695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F5705F" w:rsidRPr="00956695">
              <w:rPr>
                <w:rFonts w:ascii="Times New Roman" w:hAnsi="Times New Roman"/>
                <w:sz w:val="28"/>
                <w:szCs w:val="28"/>
              </w:rPr>
              <w:t>а</w:t>
            </w:r>
            <w:r w:rsidR="00270A5F" w:rsidRPr="00956695">
              <w:rPr>
                <w:rFonts w:ascii="Times New Roman" w:hAnsi="Times New Roman"/>
                <w:sz w:val="28"/>
                <w:szCs w:val="28"/>
              </w:rPr>
              <w:t xml:space="preserve"> разработки месторождений полезных ископаемых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, иной проектной документаци</w:t>
            </w:r>
            <w:r w:rsidR="00270A5F" w:rsidRPr="00956695">
              <w:rPr>
                <w:rFonts w:ascii="Times New Roman" w:hAnsi="Times New Roman"/>
                <w:sz w:val="28"/>
                <w:szCs w:val="28"/>
              </w:rPr>
              <w:t>и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на выполнение работ, связанных с пользованием участками недр местного значения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>»</w:t>
            </w:r>
            <w:r w:rsidR="00E36F1F" w:rsidRPr="00956695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06035" w:rsidRPr="00956695" w:rsidRDefault="00B92C09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6</w:t>
            </w:r>
            <w:r w:rsidR="00D06035" w:rsidRPr="00956695">
              <w:rPr>
                <w:rFonts w:ascii="Times New Roman" w:hAnsi="Times New Roman"/>
                <w:sz w:val="28"/>
                <w:szCs w:val="28"/>
              </w:rPr>
              <w:t>) в приложении № 3 пункт 16 изложить в следующей редакции:</w:t>
            </w:r>
          </w:p>
          <w:p w:rsidR="00D06035" w:rsidRPr="00956695" w:rsidRDefault="00D06035" w:rsidP="0095669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695">
              <w:rPr>
                <w:rFonts w:ascii="Times New Roman" w:hAnsi="Times New Roman"/>
                <w:sz w:val="28"/>
                <w:szCs w:val="28"/>
              </w:rPr>
              <w:t>«16.</w:t>
            </w:r>
            <w:r w:rsidR="00956695">
              <w:rPr>
                <w:rFonts w:ascii="Times New Roman" w:hAnsi="Times New Roman"/>
                <w:sz w:val="28"/>
                <w:szCs w:val="28"/>
              </w:rPr>
              <w:t> 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Индикатором риска нарушения обязательных требований при осуществлении регионального государственного контроля ООПТ является сокращение в течение </w:t>
            </w:r>
            <w:r w:rsidR="00956695">
              <w:rPr>
                <w:rFonts w:ascii="Times New Roman" w:hAnsi="Times New Roman"/>
                <w:sz w:val="28"/>
                <w:szCs w:val="28"/>
              </w:rPr>
              <w:t>3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предшествующих лет более чем на 20 процентов численности вида редких и находящихся под угрозой исчезновения </w:t>
            </w:r>
            <w:r w:rsidR="00680F40" w:rsidRPr="00956695">
              <w:rPr>
                <w:rFonts w:ascii="Times New Roman" w:hAnsi="Times New Roman"/>
                <w:sz w:val="28"/>
                <w:szCs w:val="28"/>
              </w:rPr>
              <w:t>растений на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земельных (лесных) участках</w:t>
            </w:r>
            <w:r w:rsidR="00CC150B" w:rsidRPr="00956695">
              <w:rPr>
                <w:rFonts w:ascii="Times New Roman" w:hAnsi="Times New Roman"/>
                <w:sz w:val="28"/>
                <w:szCs w:val="28"/>
              </w:rPr>
              <w:t>,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расположе</w:t>
            </w:r>
            <w:r w:rsidR="00A563D6" w:rsidRPr="00956695">
              <w:rPr>
                <w:rFonts w:ascii="Times New Roman" w:hAnsi="Times New Roman"/>
                <w:sz w:val="28"/>
                <w:szCs w:val="28"/>
              </w:rPr>
              <w:t>нных в границах особо охраняемых природных территорий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или в границах </w:t>
            </w:r>
            <w:r w:rsidR="00A563D6" w:rsidRPr="00956695">
              <w:rPr>
                <w:rFonts w:ascii="Times New Roman" w:hAnsi="Times New Roman"/>
                <w:sz w:val="28"/>
                <w:szCs w:val="28"/>
              </w:rPr>
              <w:t>их охранных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3D6" w:rsidRPr="00956695">
              <w:rPr>
                <w:rFonts w:ascii="Times New Roman" w:hAnsi="Times New Roman"/>
                <w:sz w:val="28"/>
                <w:szCs w:val="28"/>
              </w:rPr>
              <w:t>зон</w:t>
            </w:r>
            <w:proofErr w:type="gramStart"/>
            <w:r w:rsidR="00EB4E7B" w:rsidRPr="00956695">
              <w:rPr>
                <w:rFonts w:ascii="Times New Roman" w:hAnsi="Times New Roman"/>
                <w:sz w:val="28"/>
                <w:szCs w:val="28"/>
              </w:rPr>
              <w:t>.</w:t>
            </w:r>
            <w:r w:rsidRPr="00956695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proofErr w:type="gramEnd"/>
          </w:p>
        </w:tc>
      </w:tr>
      <w:tr w:rsidR="00956695" w:rsidTr="00956695">
        <w:tblPrEx>
          <w:jc w:val="left"/>
        </w:tblPrEx>
        <w:trPr>
          <w:trHeight w:val="309"/>
        </w:trPr>
        <w:tc>
          <w:tcPr>
            <w:tcW w:w="2796" w:type="pct"/>
          </w:tcPr>
          <w:p w:rsidR="00956695" w:rsidRDefault="00956695" w:rsidP="004E27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695" w:rsidRDefault="00956695" w:rsidP="004E27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695" w:rsidRDefault="00956695" w:rsidP="004E27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695" w:rsidRDefault="00956695" w:rsidP="004E27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956695" w:rsidRDefault="00956695" w:rsidP="004E27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56695" w:rsidRDefault="00956695" w:rsidP="004E27E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6695" w:rsidRDefault="00956695" w:rsidP="004E27E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6695" w:rsidRDefault="00956695" w:rsidP="004E27E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6695" w:rsidRDefault="00956695" w:rsidP="004E27E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56695" w:rsidRPr="00956695" w:rsidRDefault="0095669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956695" w:rsidRPr="00956695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CF" w:rsidRDefault="004C00CF">
      <w:r>
        <w:separator/>
      </w:r>
    </w:p>
  </w:endnote>
  <w:endnote w:type="continuationSeparator" w:id="0">
    <w:p w:rsidR="004C00CF" w:rsidRDefault="004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35" w:rsidRDefault="00D060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35" w:rsidRDefault="00D060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CF" w:rsidRDefault="004C00CF">
      <w:r>
        <w:separator/>
      </w:r>
    </w:p>
  </w:footnote>
  <w:footnote w:type="continuationSeparator" w:id="0">
    <w:p w:rsidR="004C00CF" w:rsidRDefault="004C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35" w:rsidRDefault="00D060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35" w:rsidRDefault="00D0603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B323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9pt" o:bullet="t">
        <v:imagedata r:id="rId1" o:title="Номер версии 555" gain="79922f" blacklevel="-1966f"/>
      </v:shape>
    </w:pict>
  </w:numPicBullet>
  <w:abstractNum w:abstractNumId="0">
    <w:nsid w:val="06DF3AA9"/>
    <w:multiLevelType w:val="hybridMultilevel"/>
    <w:tmpl w:val="1B722E1C"/>
    <w:lvl w:ilvl="0" w:tplc="8572094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+eZhMEIHUF6hMMFFNqe14MargQ=" w:salt="Om1H2iVgPzpWaUkq44G8d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35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CB3"/>
    <w:rsid w:val="00242DDB"/>
    <w:rsid w:val="002479A2"/>
    <w:rsid w:val="0026087E"/>
    <w:rsid w:val="00265420"/>
    <w:rsid w:val="00270A5F"/>
    <w:rsid w:val="00274E14"/>
    <w:rsid w:val="00280A6D"/>
    <w:rsid w:val="00293E03"/>
    <w:rsid w:val="0029451F"/>
    <w:rsid w:val="002953B6"/>
    <w:rsid w:val="002B3460"/>
    <w:rsid w:val="002B7A59"/>
    <w:rsid w:val="002C6B4B"/>
    <w:rsid w:val="002D6C96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A455B"/>
    <w:rsid w:val="003D1194"/>
    <w:rsid w:val="003D3B8A"/>
    <w:rsid w:val="003D54F8"/>
    <w:rsid w:val="003F4F5E"/>
    <w:rsid w:val="00400906"/>
    <w:rsid w:val="00410FD6"/>
    <w:rsid w:val="0042590E"/>
    <w:rsid w:val="00437F65"/>
    <w:rsid w:val="00460FEA"/>
    <w:rsid w:val="004734B7"/>
    <w:rsid w:val="00475895"/>
    <w:rsid w:val="00481B88"/>
    <w:rsid w:val="00485B4F"/>
    <w:rsid w:val="004862D1"/>
    <w:rsid w:val="004B2D5A"/>
    <w:rsid w:val="004C00C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5F6CCC"/>
    <w:rsid w:val="006013EB"/>
    <w:rsid w:val="0060479E"/>
    <w:rsid w:val="00604BE7"/>
    <w:rsid w:val="006143C0"/>
    <w:rsid w:val="00616AED"/>
    <w:rsid w:val="00632A4F"/>
    <w:rsid w:val="00632B56"/>
    <w:rsid w:val="006351E3"/>
    <w:rsid w:val="00644236"/>
    <w:rsid w:val="006471E5"/>
    <w:rsid w:val="00671D3B"/>
    <w:rsid w:val="00680F40"/>
    <w:rsid w:val="00683693"/>
    <w:rsid w:val="00684120"/>
    <w:rsid w:val="00684A5B"/>
    <w:rsid w:val="006A1F71"/>
    <w:rsid w:val="006B376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7D3A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50B57"/>
    <w:rsid w:val="00956695"/>
    <w:rsid w:val="0098403A"/>
    <w:rsid w:val="009977FF"/>
    <w:rsid w:val="009A085B"/>
    <w:rsid w:val="009C1DE6"/>
    <w:rsid w:val="009C1F0E"/>
    <w:rsid w:val="009D3E8C"/>
    <w:rsid w:val="009E3A0E"/>
    <w:rsid w:val="009F2052"/>
    <w:rsid w:val="00A1314B"/>
    <w:rsid w:val="00A13160"/>
    <w:rsid w:val="00A137D3"/>
    <w:rsid w:val="00A31EFD"/>
    <w:rsid w:val="00A44A8F"/>
    <w:rsid w:val="00A51D96"/>
    <w:rsid w:val="00A563D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4ADB"/>
    <w:rsid w:val="00B66A8C"/>
    <w:rsid w:val="00B8061C"/>
    <w:rsid w:val="00B83BA2"/>
    <w:rsid w:val="00B853AA"/>
    <w:rsid w:val="00B875BF"/>
    <w:rsid w:val="00B91F62"/>
    <w:rsid w:val="00B92C09"/>
    <w:rsid w:val="00BB2C98"/>
    <w:rsid w:val="00BB3C35"/>
    <w:rsid w:val="00BD0B82"/>
    <w:rsid w:val="00BD406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9728F"/>
    <w:rsid w:val="00CA051B"/>
    <w:rsid w:val="00CB3CBE"/>
    <w:rsid w:val="00CC150B"/>
    <w:rsid w:val="00CD14AB"/>
    <w:rsid w:val="00CD54CA"/>
    <w:rsid w:val="00CE323E"/>
    <w:rsid w:val="00CF03D8"/>
    <w:rsid w:val="00D015D5"/>
    <w:rsid w:val="00D03D68"/>
    <w:rsid w:val="00D06035"/>
    <w:rsid w:val="00D13643"/>
    <w:rsid w:val="00D266DD"/>
    <w:rsid w:val="00D32B04"/>
    <w:rsid w:val="00D374E7"/>
    <w:rsid w:val="00D40AA0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057EA"/>
    <w:rsid w:val="00E10B44"/>
    <w:rsid w:val="00E11AD6"/>
    <w:rsid w:val="00E11F02"/>
    <w:rsid w:val="00E2726B"/>
    <w:rsid w:val="00E3682D"/>
    <w:rsid w:val="00E36F1F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4E7B"/>
    <w:rsid w:val="00EB7CE9"/>
    <w:rsid w:val="00EC33FE"/>
    <w:rsid w:val="00EC433F"/>
    <w:rsid w:val="00EC4B21"/>
    <w:rsid w:val="00EC68A4"/>
    <w:rsid w:val="00ED1FDE"/>
    <w:rsid w:val="00ED5102"/>
    <w:rsid w:val="00EF03E0"/>
    <w:rsid w:val="00F06EFB"/>
    <w:rsid w:val="00F1529E"/>
    <w:rsid w:val="00F16F07"/>
    <w:rsid w:val="00F45B7C"/>
    <w:rsid w:val="00F45FCE"/>
    <w:rsid w:val="00F5705F"/>
    <w:rsid w:val="00F64260"/>
    <w:rsid w:val="00F85EFA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6035"/>
    <w:pPr>
      <w:ind w:left="720"/>
      <w:contextualSpacing/>
    </w:pPr>
  </w:style>
  <w:style w:type="paragraph" w:styleId="ad">
    <w:name w:val="No Spacing"/>
    <w:uiPriority w:val="1"/>
    <w:qFormat/>
    <w:rsid w:val="00D0603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705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29451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6035"/>
    <w:pPr>
      <w:ind w:left="720"/>
      <w:contextualSpacing/>
    </w:pPr>
  </w:style>
  <w:style w:type="paragraph" w:styleId="ad">
    <w:name w:val="No Spacing"/>
    <w:uiPriority w:val="1"/>
    <w:qFormat/>
    <w:rsid w:val="00D0603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705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29451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C94FED6446047D80C007DE2F6484C4082573BB8C1E462423E2B2CA5ACDC6592E4DFE1E9D2A5F74523D903921037889768BADFF71709BB792DC60A5H7z6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A66ABB4137F8E3B8221C20531D09A3F23A136E2E548EB644FC9DA9A30BDE9B5C2843DDCB35BD9D65F368D5D800A420FF923779108791BD9C1947D160LFH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2008-04-23T08:17:00Z</cp:lastPrinted>
  <dcterms:created xsi:type="dcterms:W3CDTF">2023-10-06T12:35:00Z</dcterms:created>
  <dcterms:modified xsi:type="dcterms:W3CDTF">2023-10-30T12:44:00Z</dcterms:modified>
</cp:coreProperties>
</file>