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41EA" w:rsidRDefault="003A538A">
      <w:pPr>
        <w:keepNext/>
        <w:spacing w:before="0" w:after="0"/>
        <w:ind w:left="5670"/>
        <w:jc w:val="left"/>
      </w:pPr>
      <w:r>
        <w:t xml:space="preserve">Утвержден </w:t>
      </w:r>
    </w:p>
    <w:p w:rsidR="004041EA" w:rsidRDefault="003A538A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4041EA" w:rsidRDefault="003A538A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4041EA" w:rsidRDefault="003A538A">
      <w:pPr>
        <w:keepNext/>
        <w:spacing w:before="0" w:after="0"/>
        <w:ind w:left="5670"/>
        <w:jc w:val="left"/>
      </w:pPr>
      <w:r>
        <w:t>Рязанской области</w:t>
      </w:r>
    </w:p>
    <w:p w:rsidR="004041EA" w:rsidRDefault="001A51EA">
      <w:pPr>
        <w:keepNext/>
        <w:tabs>
          <w:tab w:val="left" w:pos="5100"/>
        </w:tabs>
        <w:spacing w:before="0" w:after="0"/>
        <w:ind w:left="5670"/>
        <w:jc w:val="left"/>
      </w:pPr>
      <w:r>
        <w:t>от 06 октября 2023 г.</w:t>
      </w:r>
      <w:r w:rsidR="003A538A">
        <w:t xml:space="preserve"> №</w:t>
      </w:r>
      <w:r>
        <w:t xml:space="preserve"> 474-п</w:t>
      </w:r>
      <w:bookmarkStart w:id="0" w:name="_GoBack"/>
      <w:bookmarkEnd w:id="0"/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3A538A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4041EA" w:rsidRDefault="003A538A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Сысоевское</w:t>
      </w:r>
      <w:proofErr w:type="spellEnd"/>
      <w:r>
        <w:rPr>
          <w:sz w:val="32"/>
          <w:szCs w:val="32"/>
        </w:rPr>
        <w:t xml:space="preserve"> сельское поселение </w:t>
      </w:r>
    </w:p>
    <w:p w:rsidR="004041EA" w:rsidRDefault="003A538A">
      <w:pPr>
        <w:pStyle w:val="a7"/>
        <w:spacing w:after="6"/>
        <w:ind w:firstLine="0"/>
        <w:jc w:val="center"/>
      </w:pP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4041EA" w:rsidRDefault="003A538A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3A538A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4041EA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4041EA" w:rsidRDefault="003A538A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4041EA" w:rsidRDefault="004041EA">
      <w:pPr>
        <w:pStyle w:val="a7"/>
        <w:rPr>
          <w:szCs w:val="28"/>
        </w:rPr>
      </w:pPr>
    </w:p>
    <w:p w:rsidR="004041EA" w:rsidRDefault="003A538A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 xml:space="preserve">Генеральным планом муниципального образования – </w:t>
      </w:r>
      <w:proofErr w:type="spellStart"/>
      <w:r>
        <w:rPr>
          <w:sz w:val="28"/>
          <w:szCs w:val="28"/>
        </w:rPr>
        <w:t>Сысоевское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Сараевского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планируется размещение объектов местного значения поселения, приведенные в таблице 1.</w:t>
      </w:r>
    </w:p>
    <w:p w:rsidR="004041EA" w:rsidRDefault="003A538A">
      <w:pPr>
        <w:spacing w:before="0" w:after="0"/>
        <w:ind w:firstLine="567"/>
        <w:contextualSpacing/>
        <w:jc w:val="right"/>
      </w:pPr>
      <w:r>
        <w:rPr>
          <w:sz w:val="28"/>
          <w:szCs w:val="28"/>
        </w:rPr>
        <w:t>Таблица 1</w:t>
      </w:r>
    </w:p>
    <w:tbl>
      <w:tblPr>
        <w:tblW w:w="1000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275"/>
        <w:gridCol w:w="3191"/>
      </w:tblGrid>
      <w:tr w:rsidR="004041EA">
        <w:trPr>
          <w:trHeight w:val="497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TableParagraph"/>
              <w:widowControl w:val="0"/>
              <w:suppressAutoHyphens w:val="0"/>
              <w:ind w:left="57" w:right="57" w:hanging="10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  <w:p w:rsidR="004041EA" w:rsidRDefault="003A538A">
            <w:pPr>
              <w:pStyle w:val="af7"/>
              <w:widowControl w:val="0"/>
              <w:spacing w:before="0" w:after="0"/>
              <w:ind w:left="57" w:right="57" w:hanging="10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f7"/>
              <w:widowControl w:val="0"/>
              <w:spacing w:before="0" w:after="0"/>
              <w:ind w:hanging="10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f7"/>
              <w:widowControl w:val="0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Зона с особыми условиями использования территории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TableParagraph"/>
              <w:widowControl w:val="0"/>
              <w:ind w:left="57" w:right="57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Вид</w:t>
            </w:r>
          </w:p>
          <w:p w:rsidR="004041EA" w:rsidRDefault="003A538A">
            <w:pPr>
              <w:pStyle w:val="TableParagraph"/>
              <w:widowControl w:val="0"/>
              <w:ind w:left="57" w:right="57"/>
              <w:contextualSpacing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функциональной</w:t>
            </w:r>
          </w:p>
          <w:p w:rsidR="004041EA" w:rsidRDefault="003A538A">
            <w:pPr>
              <w:pStyle w:val="af7"/>
              <w:widowControl w:val="0"/>
              <w:spacing w:before="0" w:after="0"/>
              <w:ind w:left="57" w:right="57"/>
              <w:contextualSpacing/>
              <w:rPr>
                <w:b w:val="0"/>
                <w:kern w:val="0"/>
                <w:sz w:val="24"/>
                <w:szCs w:val="24"/>
                <w:lang w:eastAsia="en-US"/>
              </w:rPr>
            </w:pPr>
            <w:r>
              <w:rPr>
                <w:b w:val="0"/>
                <w:kern w:val="0"/>
                <w:sz w:val="24"/>
                <w:szCs w:val="24"/>
                <w:lang w:eastAsia="en-US"/>
              </w:rPr>
              <w:t>зоны</w:t>
            </w:r>
          </w:p>
        </w:tc>
      </w:tr>
      <w:tr w:rsidR="004041EA">
        <w:trPr>
          <w:trHeight w:val="68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111"/>
              <w:widowControl w:val="0"/>
              <w:ind w:left="57"/>
              <w:jc w:val="center"/>
            </w:pPr>
            <w:r>
              <w:rPr>
                <w:sz w:val="24"/>
                <w:szCs w:val="24"/>
              </w:rPr>
              <w:t>Спортивное сооружение</w:t>
            </w:r>
          </w:p>
          <w:p w:rsidR="004041EA" w:rsidRDefault="003A538A">
            <w:pPr>
              <w:pStyle w:val="ae"/>
              <w:widowControl w:val="0"/>
              <w:ind w:left="57"/>
              <w:contextualSpacing/>
            </w:pPr>
            <w:r>
              <w:t xml:space="preserve">(Код объекта </w:t>
            </w:r>
            <w:r>
              <w:rPr>
                <w:lang w:val="en-US"/>
              </w:rPr>
              <w:t>602010302)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f9"/>
              <w:widowControl w:val="0"/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>с. Паники,</w:t>
            </w:r>
          </w:p>
          <w:p w:rsidR="004041EA" w:rsidRDefault="004041EA">
            <w:pPr>
              <w:pStyle w:val="af9"/>
              <w:widowControl w:val="0"/>
              <w:spacing w:after="0"/>
              <w:ind w:left="0"/>
              <w:contextualSpacing/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TableParagraph"/>
              <w:widowControl w:val="0"/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111"/>
              <w:widowControl w:val="0"/>
              <w:ind w:left="57" w:right="5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Жилые зоны</w:t>
            </w:r>
          </w:p>
        </w:tc>
      </w:tr>
      <w:tr w:rsidR="004041EA">
        <w:trPr>
          <w:trHeight w:val="68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111"/>
              <w:widowControl w:val="0"/>
              <w:ind w:left="57"/>
              <w:jc w:val="center"/>
            </w:pPr>
            <w:r>
              <w:rPr>
                <w:sz w:val="24"/>
                <w:szCs w:val="24"/>
              </w:rPr>
              <w:t>Спортивное сооружение</w:t>
            </w:r>
          </w:p>
          <w:p w:rsidR="004041EA" w:rsidRDefault="003A538A">
            <w:pPr>
              <w:pStyle w:val="ae"/>
              <w:widowControl w:val="0"/>
              <w:ind w:left="57"/>
              <w:contextualSpacing/>
            </w:pPr>
            <w:r>
              <w:t xml:space="preserve">(Код объекта </w:t>
            </w:r>
            <w:r>
              <w:rPr>
                <w:lang w:val="en-US"/>
              </w:rPr>
              <w:t>602010302)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f9"/>
              <w:widowControl w:val="0"/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Style w:val="20"/>
                <w:kern w:val="0"/>
                <w:sz w:val="24"/>
                <w:szCs w:val="24"/>
                <w:lang w:eastAsia="en-US"/>
              </w:rPr>
              <w:t>Сысои</w:t>
            </w:r>
            <w:proofErr w:type="spellEnd"/>
            <w:r>
              <w:rPr>
                <w:rStyle w:val="20"/>
                <w:kern w:val="0"/>
                <w:sz w:val="24"/>
                <w:szCs w:val="24"/>
                <w:lang w:eastAsia="en-US"/>
              </w:rPr>
              <w:t>,</w:t>
            </w:r>
          </w:p>
          <w:p w:rsidR="004041EA" w:rsidRDefault="003A538A">
            <w:pPr>
              <w:pStyle w:val="af9"/>
              <w:widowControl w:val="0"/>
              <w:spacing w:after="0"/>
              <w:ind w:left="57"/>
              <w:contextualSpacing/>
            </w:pPr>
            <w:r>
              <w:rPr>
                <w:rStyle w:val="20"/>
                <w:kern w:val="0"/>
                <w:sz w:val="24"/>
                <w:szCs w:val="24"/>
                <w:lang w:eastAsia="en-US"/>
              </w:rPr>
              <w:t xml:space="preserve"> ул. Центральная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TableParagraph"/>
              <w:widowControl w:val="0"/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111"/>
              <w:widowControl w:val="0"/>
              <w:ind w:left="57" w:right="5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Жилые зоны</w:t>
            </w:r>
          </w:p>
        </w:tc>
      </w:tr>
    </w:tbl>
    <w:p w:rsidR="004041EA" w:rsidRDefault="004041EA">
      <w:pPr>
        <w:spacing w:before="0" w:after="0"/>
        <w:ind w:firstLine="567"/>
        <w:contextualSpacing/>
        <w:jc w:val="both"/>
        <w:rPr>
          <w:sz w:val="28"/>
          <w:szCs w:val="28"/>
        </w:rPr>
      </w:pPr>
    </w:p>
    <w:p w:rsidR="004041EA" w:rsidRDefault="003A538A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4041EA" w:rsidRDefault="004041EA">
      <w:pPr>
        <w:pStyle w:val="a7"/>
        <w:rPr>
          <w:color w:val="auto"/>
          <w:szCs w:val="28"/>
        </w:rPr>
      </w:pPr>
    </w:p>
    <w:p w:rsidR="004041EA" w:rsidRDefault="003A538A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4041EA" w:rsidRDefault="003A538A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4041EA" w:rsidRDefault="003A538A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>Сысоевское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4041EA" w:rsidRDefault="004041EA">
      <w:pPr>
        <w:pStyle w:val="a7"/>
        <w:rPr>
          <w:color w:val="auto"/>
        </w:rPr>
      </w:pPr>
    </w:p>
    <w:p w:rsidR="004041EA" w:rsidRDefault="003A538A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4041EA" w:rsidRDefault="004041EA">
      <w:pPr>
        <w:pStyle w:val="a7"/>
        <w:rPr>
          <w:color w:val="auto"/>
        </w:rPr>
      </w:pPr>
    </w:p>
    <w:p w:rsidR="004041EA" w:rsidRDefault="003A538A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>Сысоевское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>муниципального района Рязанской области учитывались градостроительные требования, в том числе:</w:t>
      </w:r>
    </w:p>
    <w:p w:rsidR="004041EA" w:rsidRDefault="003A538A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4041EA" w:rsidRDefault="003A538A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4041EA" w:rsidRDefault="003A538A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041EA" w:rsidRDefault="003A538A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4041EA" w:rsidRDefault="003A538A">
      <w:pPr>
        <w:pStyle w:val="a7"/>
        <w:rPr>
          <w:szCs w:val="28"/>
        </w:rPr>
      </w:pPr>
      <w:r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4041EA" w:rsidRDefault="003A538A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4041EA" w:rsidRDefault="003A538A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>Сысоевское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сельское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 относятся зоны, перечисленные в таблице </w:t>
      </w:r>
      <w:r w:rsidR="00F1698A">
        <w:rPr>
          <w:szCs w:val="28"/>
        </w:rPr>
        <w:t>1</w:t>
      </w:r>
      <w:r>
        <w:rPr>
          <w:szCs w:val="28"/>
        </w:rPr>
        <w:t>.</w:t>
      </w:r>
    </w:p>
    <w:p w:rsidR="004041EA" w:rsidRDefault="00F1698A">
      <w:pPr>
        <w:pStyle w:val="a7"/>
        <w:jc w:val="right"/>
      </w:pPr>
      <w: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4"/>
        <w:gridCol w:w="7477"/>
      </w:tblGrid>
      <w:tr w:rsidR="004041EA">
        <w:trPr>
          <w:trHeight w:val="497"/>
          <w:tblHeader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t>Условное</w:t>
            </w:r>
          </w:p>
          <w:p w:rsidR="004041EA" w:rsidRDefault="003A538A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11" behindDoc="0" locked="0" layoutInCell="0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75565</wp:posOffset>
                      </wp:positionV>
                      <wp:extent cx="662940" cy="285750"/>
                      <wp:effectExtent l="5080" t="5080" r="5080" b="508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8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  <w:spacing w:before="100" w:after="10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" path="m0,0l-2147483645,0l-2147483645,-2147483646l0,-2147483646xe" fillcolor="#ff6450" stroked="t" o:allowincell="f" style="position:absolute;margin-left:32.15pt;margin-top:5.95pt;width:52.15pt;height:22.4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3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3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652145" cy="276225"/>
                      <wp:effectExtent l="5715" t="5715" r="4445" b="4445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3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_0" path="m0,0l-2147483645,0l-2147483645,-2147483646l0,-2147483646xe" fillcolor="#ca7af5" stroked="t" o:allowincell="f" style="position:absolute;margin-left:32.3pt;margin-top:5.4pt;width:51.3pt;height:21.7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111"/>
              <w:widowControl w:val="0"/>
              <w:snapToGrid w:val="0"/>
              <w:contextualSpacing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87630</wp:posOffset>
                      </wp:positionV>
                      <wp:extent cx="670560" cy="243205"/>
                      <wp:effectExtent l="5080" t="5715" r="5080" b="4445"/>
                      <wp:wrapNone/>
                      <wp:docPr id="5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680" cy="24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4041EA" w:rsidRDefault="004041EA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" path="m0,0l-2147483645,0l-2147483645,-2147483646l0,-2147483646xe" fillcolor="#895a44" stroked="t" o:allowincell="f" style="position:absolute;margin-left:30.85pt;margin-top:6.9pt;width:52.75pt;height:19.1pt;mso-wrap-style:square;v-text-anchor:top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111"/>
              <w:widowControl w:val="0"/>
              <w:ind w:left="57"/>
              <w:contextualSpacing/>
              <w:rPr>
                <w:sz w:val="24"/>
              </w:rPr>
            </w:pPr>
            <w:r>
              <w:rPr>
                <w:sz w:val="24"/>
              </w:rPr>
              <w:t>Производственная зона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671195" cy="276225"/>
                      <wp:effectExtent l="5715" t="5715" r="4445" b="4445"/>
                      <wp:wrapNone/>
                      <wp:docPr id="7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fillcolor="#636382" stroked="t" o:allowincell="f" style="position:absolute;margin-left:32.05pt;margin-top:6.25pt;width:52.8pt;height:21.7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668020" cy="276225"/>
                      <wp:effectExtent l="5715" t="5715" r="4445" b="4445"/>
                      <wp:wrapNone/>
                      <wp:docPr id="9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16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2.3pt;margin-top:7.95pt;width:52.55pt;height:21.7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1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05pt;margin-top:5.95pt;width:53.25pt;height:21.7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76225"/>
                      <wp:effectExtent l="5715" t="5715" r="4445" b="4445"/>
                      <wp:wrapNone/>
                      <wp:docPr id="1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3.15pt;margin-top:7.1pt;width:52.15pt;height:21.7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1" behindDoc="0" locked="0" layoutInCell="0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100330</wp:posOffset>
                      </wp:positionV>
                      <wp:extent cx="670560" cy="252095"/>
                      <wp:effectExtent l="5080" t="5715" r="5080" b="4445"/>
                      <wp:wrapNone/>
                      <wp:docPr id="15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68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widowControl w:val="0"/>
                                    <w:spacing w:before="0" w:after="0"/>
                                  </w:pPr>
                                </w:p>
                                <w:p w:rsidR="004041EA" w:rsidRDefault="004041EA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" path="m0,0l-2147483645,0l-2147483645,-2147483646l0,-2147483646xe" fillcolor="#cae0b0" stroked="t" o:allowincell="f" style="position:absolute;margin-left:33.5pt;margin-top:7.9pt;width:52.75pt;height:19.8pt;mso-wrap-style:square;v-text-anchor:top">
                      <v:fill o:detectmouseclick="t" type="solid" color2="#35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spacing w:before="100" w:after="1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658495" cy="274955"/>
                      <wp:effectExtent l="5715" t="5715" r="4445" b="4445"/>
                      <wp:wrapNone/>
                      <wp:docPr id="17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fillcolor="#1c8f69" stroked="t" o:allowincell="f" style="position:absolute;margin-left:34pt;margin-top:5.9pt;width:51.8pt;height:21.6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60985"/>
                      <wp:effectExtent l="5080" t="5715" r="5080" b="4445"/>
                      <wp:wrapNone/>
                      <wp:docPr id="19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33.15pt;margin-top:7.1pt;width:52.15pt;height:20.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4041EA">
        <w:trPr>
          <w:trHeight w:val="624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3740" cy="321310"/>
                      <wp:effectExtent l="0" t="0" r="0" b="0"/>
                      <wp:wrapNone/>
                      <wp:docPr id="21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2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041EA" w:rsidRDefault="004041EA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56.15pt;height:25.2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3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4041EA" w:rsidRDefault="003A538A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4041EA" w:rsidRDefault="004041EA">
      <w:pPr>
        <w:pStyle w:val="a7"/>
        <w:rPr>
          <w:szCs w:val="28"/>
        </w:rPr>
      </w:pPr>
    </w:p>
    <w:p w:rsidR="004041EA" w:rsidRDefault="003A538A">
      <w:pPr>
        <w:pStyle w:val="a7"/>
        <w:numPr>
          <w:ilvl w:val="0"/>
          <w:numId w:val="2"/>
        </w:numPr>
        <w:ind w:firstLine="567"/>
      </w:pPr>
      <w:r>
        <w:t>Жилые зоны.</w:t>
      </w:r>
    </w:p>
    <w:p w:rsidR="004041EA" w:rsidRDefault="003A538A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  <w:shd w:val="clear" w:color="auto" w:fill="FFFFFF"/>
        </w:rPr>
        <w:t>Жилые зоны</w:t>
      </w:r>
      <w:r>
        <w:rPr>
          <w:rFonts w:eastAsia="XO Thames;Times New Roman"/>
          <w:szCs w:val="28"/>
        </w:rPr>
        <w:t xml:space="preserve"> предназначены</w:t>
      </w:r>
      <w:r>
        <w:rPr>
          <w:rFonts w:eastAsia="XO Thames;Times New Roman"/>
          <w:szCs w:val="28"/>
          <w:lang w:eastAsia="ar-SA"/>
        </w:rPr>
        <w:t xml:space="preserve"> </w:t>
      </w:r>
      <w:r>
        <w:rPr>
          <w:rFonts w:eastAsia="XO Thames;Times New Roman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4041EA" w:rsidRDefault="004041EA">
      <w:pPr>
        <w:pStyle w:val="a7"/>
        <w:rPr>
          <w:color w:val="auto"/>
        </w:rPr>
      </w:pPr>
    </w:p>
    <w:p w:rsidR="004041EA" w:rsidRDefault="003A538A">
      <w:pPr>
        <w:pStyle w:val="a7"/>
      </w:pPr>
      <w:r>
        <w:rPr>
          <w:rStyle w:val="20"/>
        </w:rPr>
        <w:t>Зона специализированной общественной застройки.</w:t>
      </w:r>
    </w:p>
    <w:p w:rsidR="004041EA" w:rsidRDefault="003A538A">
      <w:pPr>
        <w:pStyle w:val="a7"/>
        <w:numPr>
          <w:ilvl w:val="0"/>
          <w:numId w:val="2"/>
        </w:numPr>
        <w:ind w:firstLine="567"/>
      </w:pPr>
      <w:r>
        <w:rPr>
          <w:rStyle w:val="20"/>
          <w:rFonts w:eastAsia="XO Thames;Times New Roman"/>
          <w:iCs/>
          <w:szCs w:val="28"/>
          <w:lang w:eastAsia="ar-SA"/>
        </w:rPr>
        <w:t>Зона специализированной общественной застройки</w:t>
      </w:r>
      <w:r>
        <w:rPr>
          <w:rFonts w:eastAsia="XO Thames;Times New Roman"/>
          <w:iCs/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4041EA" w:rsidRDefault="004041EA">
      <w:pPr>
        <w:pStyle w:val="a7"/>
        <w:numPr>
          <w:ilvl w:val="0"/>
          <w:numId w:val="2"/>
        </w:numPr>
        <w:ind w:firstLine="567"/>
        <w:rPr>
          <w:color w:val="auto"/>
        </w:rPr>
      </w:pPr>
    </w:p>
    <w:p w:rsidR="004041EA" w:rsidRDefault="003A538A">
      <w:pPr>
        <w:pStyle w:val="a7"/>
      </w:pPr>
      <w:r>
        <w:t>Производственная зона.</w:t>
      </w:r>
    </w:p>
    <w:p w:rsidR="004041EA" w:rsidRDefault="003A538A">
      <w:pPr>
        <w:pStyle w:val="a7"/>
        <w:rPr>
          <w:szCs w:val="28"/>
        </w:rPr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041EA" w:rsidRDefault="004041EA">
      <w:pPr>
        <w:pStyle w:val="a7"/>
        <w:rPr>
          <w:szCs w:val="28"/>
        </w:rPr>
      </w:pPr>
    </w:p>
    <w:p w:rsidR="004041EA" w:rsidRDefault="003A538A">
      <w:pPr>
        <w:pStyle w:val="a7"/>
      </w:pPr>
      <w:r>
        <w:t>Зона инженерной инфраструктуры.</w:t>
      </w:r>
    </w:p>
    <w:p w:rsidR="004041EA" w:rsidRDefault="003A538A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4041EA" w:rsidRDefault="003A538A">
      <w:pPr>
        <w:pStyle w:val="a7"/>
        <w:numPr>
          <w:ilvl w:val="0"/>
          <w:numId w:val="2"/>
        </w:numPr>
        <w:ind w:firstLine="567"/>
      </w:pPr>
      <w:r>
        <w:t xml:space="preserve"> </w:t>
      </w:r>
    </w:p>
    <w:p w:rsidR="004041EA" w:rsidRDefault="003A538A">
      <w:pPr>
        <w:pStyle w:val="a7"/>
      </w:pPr>
      <w:r>
        <w:t>Зона транспортной инфраструктуры.</w:t>
      </w:r>
    </w:p>
    <w:p w:rsidR="004041EA" w:rsidRDefault="003A538A">
      <w:pPr>
        <w:pStyle w:val="a7"/>
        <w:numPr>
          <w:ilvl w:val="0"/>
          <w:numId w:val="2"/>
        </w:numPr>
        <w:ind w:firstLine="567"/>
      </w:pPr>
      <w:r>
        <w:t>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4041EA" w:rsidRDefault="004041EA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4041EA" w:rsidRDefault="003A538A">
      <w:pPr>
        <w:pStyle w:val="a7"/>
      </w:pPr>
      <w:r>
        <w:t>Зоны сельскохозяйственного использования.</w:t>
      </w:r>
    </w:p>
    <w:p w:rsidR="004041EA" w:rsidRDefault="003A538A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</w:t>
      </w:r>
      <w:r w:rsidR="007E0666">
        <w:t>х.</w:t>
      </w:r>
    </w:p>
    <w:p w:rsidR="004041EA" w:rsidRDefault="004041EA">
      <w:pPr>
        <w:pStyle w:val="a7"/>
        <w:rPr>
          <w:szCs w:val="28"/>
        </w:rPr>
      </w:pPr>
    </w:p>
    <w:p w:rsidR="004041EA" w:rsidRDefault="003A538A">
      <w:pPr>
        <w:pStyle w:val="a7"/>
      </w:pPr>
      <w:r>
        <w:t>Производственная зона сельскохозяйственных предприятий.</w:t>
      </w:r>
    </w:p>
    <w:p w:rsidR="004041EA" w:rsidRDefault="003A538A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t xml:space="preserve"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</w:t>
      </w:r>
      <w:r>
        <w:lastRenderedPageBreak/>
        <w:t>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4041EA" w:rsidRDefault="004041EA">
      <w:pPr>
        <w:spacing w:before="0" w:after="0"/>
        <w:ind w:firstLine="567"/>
        <w:contextualSpacing/>
        <w:jc w:val="both"/>
        <w:rPr>
          <w:b/>
          <w:bCs/>
          <w:sz w:val="28"/>
          <w:szCs w:val="28"/>
        </w:rPr>
      </w:pPr>
    </w:p>
    <w:p w:rsidR="004041EA" w:rsidRDefault="003A538A">
      <w:pPr>
        <w:spacing w:before="0" w:after="0"/>
        <w:ind w:firstLine="567"/>
        <w:contextualSpacing/>
        <w:jc w:val="both"/>
      </w:pPr>
      <w:r>
        <w:rPr>
          <w:sz w:val="28"/>
          <w:szCs w:val="28"/>
        </w:rPr>
        <w:t>Зона сельскохозяйственных угодий.</w:t>
      </w:r>
    </w:p>
    <w:p w:rsidR="004041EA" w:rsidRDefault="003A538A">
      <w:pPr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4041EA" w:rsidRDefault="004041EA">
      <w:pPr>
        <w:pStyle w:val="a7"/>
        <w:rPr>
          <w:rFonts w:eastAsia="XO Thames"/>
          <w:szCs w:val="28"/>
        </w:rPr>
      </w:pPr>
    </w:p>
    <w:p w:rsidR="004041EA" w:rsidRDefault="003A538A">
      <w:pPr>
        <w:pStyle w:val="a7"/>
      </w:pPr>
      <w:r>
        <w:t>Зона лесов.</w:t>
      </w:r>
    </w:p>
    <w:p w:rsidR="004041EA" w:rsidRDefault="003A538A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4041EA" w:rsidRDefault="004041EA">
      <w:pPr>
        <w:pStyle w:val="a7"/>
        <w:rPr>
          <w:szCs w:val="28"/>
        </w:rPr>
      </w:pPr>
    </w:p>
    <w:p w:rsidR="004041EA" w:rsidRDefault="003A538A">
      <w:pPr>
        <w:pStyle w:val="a7"/>
        <w:rPr>
          <w:szCs w:val="28"/>
        </w:rPr>
      </w:pPr>
      <w:r>
        <w:rPr>
          <w:szCs w:val="28"/>
        </w:rPr>
        <w:t>Зона озелененных территорий специального назначения.</w:t>
      </w:r>
    </w:p>
    <w:p w:rsidR="004041EA" w:rsidRDefault="003A538A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защитные и</w:t>
      </w:r>
      <w:r w:rsidR="00EC5E2A">
        <w:rPr>
          <w:color w:val="auto"/>
          <w:szCs w:val="28"/>
          <w:lang w:eastAsia="ru-RU"/>
        </w:rPr>
        <w:t xml:space="preserve"> санитарно-гигиенические функции</w:t>
      </w:r>
      <w:r>
        <w:rPr>
          <w:color w:val="auto"/>
          <w:szCs w:val="28"/>
          <w:lang w:eastAsia="ru-RU"/>
        </w:rPr>
        <w:t>.</w:t>
      </w:r>
    </w:p>
    <w:p w:rsidR="004041EA" w:rsidRDefault="004041EA">
      <w:pPr>
        <w:pStyle w:val="a7"/>
        <w:rPr>
          <w:szCs w:val="28"/>
        </w:rPr>
      </w:pPr>
    </w:p>
    <w:p w:rsidR="004041EA" w:rsidRDefault="003A538A">
      <w:pPr>
        <w:pStyle w:val="a7"/>
      </w:pPr>
      <w:r>
        <w:t>Зона кладбищ.</w:t>
      </w:r>
    </w:p>
    <w:p w:rsidR="004041EA" w:rsidRDefault="003A538A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041EA" w:rsidRDefault="004041EA">
      <w:pPr>
        <w:pStyle w:val="a7"/>
        <w:numPr>
          <w:ilvl w:val="0"/>
          <w:numId w:val="2"/>
        </w:numPr>
        <w:ind w:firstLine="567"/>
        <w:rPr>
          <w:color w:val="auto"/>
        </w:rPr>
      </w:pPr>
    </w:p>
    <w:p w:rsidR="004041EA" w:rsidRDefault="003A538A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Сысоевское</w:t>
      </w:r>
      <w:proofErr w:type="spellEnd"/>
      <w:r>
        <w:rPr>
          <w:szCs w:val="28"/>
          <w:lang w:eastAsia="ar-SA"/>
        </w:rPr>
        <w:t xml:space="preserve"> сельское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Сараевского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 w:rsidR="00DB295E">
        <w:rPr>
          <w:szCs w:val="28"/>
        </w:rPr>
        <w:t>, перечисленные в таблице 2</w:t>
      </w:r>
      <w:r>
        <w:rPr>
          <w:szCs w:val="28"/>
        </w:rPr>
        <w:t>.</w:t>
      </w:r>
    </w:p>
    <w:p w:rsidR="004041EA" w:rsidRDefault="00DB295E">
      <w:pPr>
        <w:pStyle w:val="a7"/>
        <w:jc w:val="right"/>
      </w:pPr>
      <w:r>
        <w:t>Таблица 2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062"/>
        <w:gridCol w:w="1145"/>
        <w:gridCol w:w="1815"/>
        <w:gridCol w:w="1806"/>
        <w:gridCol w:w="1603"/>
      </w:tblGrid>
      <w:tr w:rsidR="004041EA">
        <w:trPr>
          <w:trHeight w:val="497"/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4041EA" w:rsidRDefault="003A538A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ind w:left="113"/>
            </w:pPr>
            <w:r>
              <w:t>Наименование</w:t>
            </w:r>
          </w:p>
          <w:p w:rsidR="004041EA" w:rsidRDefault="003A538A">
            <w:pPr>
              <w:pStyle w:val="ae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</w:pPr>
            <w:r>
              <w:t>Максимальная этажность</w:t>
            </w:r>
          </w:p>
        </w:tc>
      </w:tr>
      <w:tr w:rsidR="004041EA">
        <w:trPr>
          <w:trHeight w:hRule="exact" w:val="340"/>
        </w:trPr>
        <w:tc>
          <w:tcPr>
            <w:tcW w:w="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757,8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963602">
            <w:pPr>
              <w:pStyle w:val="ae"/>
              <w:widowControl w:val="0"/>
            </w:pPr>
            <w:r>
              <w:rPr>
                <w:color w:val="auto"/>
              </w:rPr>
              <w:t>Застройка</w:t>
            </w:r>
            <w:r w:rsidR="003A538A">
              <w:rPr>
                <w:color w:val="auto"/>
              </w:rPr>
              <w:t xml:space="preserve"> индивидуальными жилыми домами</w:t>
            </w:r>
          </w:p>
        </w:tc>
      </w:tr>
      <w:tr w:rsidR="004041EA">
        <w:trPr>
          <w:trHeight w:hRule="exact" w:val="34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</w:pPr>
            <w:r>
              <w:rPr>
                <w:color w:val="auto"/>
              </w:rPr>
              <w:t>0,2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4041EA">
        <w:trPr>
          <w:trHeight w:hRule="exact" w:val="34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4041EA">
        <w:trPr>
          <w:trHeight w:hRule="exact" w:val="34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4041EA">
        <w:trPr>
          <w:trHeight w:hRule="exact" w:val="34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4041EA">
        <w:trPr>
          <w:trHeight w:hRule="exact" w:val="340"/>
        </w:trPr>
        <w:tc>
          <w:tcPr>
            <w:tcW w:w="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30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6,35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0,55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5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39,02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4041EA">
        <w:trPr>
          <w:trHeight w:hRule="exact" w:val="65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9 519,99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сельскохозяйственных угодий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573,57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4041EA">
            <w:pPr>
              <w:pStyle w:val="ae"/>
              <w:widowControl w:val="0"/>
              <w:rPr>
                <w:color w:val="auto"/>
              </w:rPr>
            </w:pPr>
          </w:p>
        </w:tc>
      </w:tr>
      <w:tr w:rsidR="004041EA">
        <w:trPr>
          <w:trHeight w:hRule="exact" w:val="85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 сельскохозяйственных предприятий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126,92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310,31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4041EA">
        <w:trPr>
          <w:trHeight w:hRule="exact" w:val="84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3,7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4041EA">
        <w:trPr>
          <w:trHeight w:hRule="exact" w:val="56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3,13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4041EA" w:rsidRDefault="003A538A">
      <w:pPr>
        <w:pStyle w:val="a7"/>
      </w:pPr>
      <w:r>
        <w:rPr>
          <w:color w:val="auto"/>
        </w:rPr>
        <w:t>Примечания</w:t>
      </w:r>
    </w:p>
    <w:p w:rsidR="004041EA" w:rsidRDefault="003A538A">
      <w:pPr>
        <w:pStyle w:val="a7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4041EA" w:rsidRDefault="003A538A">
      <w:pPr>
        <w:pStyle w:val="a7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4041EA" w:rsidRDefault="003A538A">
      <w:pPr>
        <w:pStyle w:val="a7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4041EA" w:rsidRDefault="003A538A">
      <w:pPr>
        <w:pStyle w:val="a7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  <w:kern w:val="0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4041EA" w:rsidRDefault="003A538A">
      <w:pPr>
        <w:pStyle w:val="a7"/>
      </w:pPr>
      <w:r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4041EA" w:rsidRDefault="003A538A">
      <w:pPr>
        <w:pStyle w:val="a7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4041EA" w:rsidRDefault="003A538A">
      <w:pPr>
        <w:pStyle w:val="a7"/>
        <w:suppressLineNumbers/>
        <w:contextualSpacing/>
        <w:rPr>
          <w:szCs w:val="28"/>
        </w:rPr>
      </w:pPr>
      <w:r>
        <w:rPr>
          <w:color w:val="auto"/>
          <w:szCs w:val="28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4041EA" w:rsidRDefault="004041EA">
      <w:pPr>
        <w:pStyle w:val="a7"/>
        <w:suppressLineNumbers/>
        <w:contextualSpacing/>
        <w:rPr>
          <w:szCs w:val="28"/>
        </w:rPr>
      </w:pPr>
    </w:p>
    <w:p w:rsidR="004041EA" w:rsidRDefault="003A538A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4041EA" w:rsidRDefault="004041EA">
      <w:pPr>
        <w:pStyle w:val="a7"/>
        <w:rPr>
          <w:color w:val="auto"/>
          <w:szCs w:val="28"/>
        </w:rPr>
      </w:pPr>
    </w:p>
    <w:p w:rsidR="004041EA" w:rsidRDefault="003A538A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Сысоевское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Сараевского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планируется размещение объектов местного значения муниципального района, перечисленные в таблице 1.</w:t>
      </w:r>
    </w:p>
    <w:p w:rsidR="004041EA" w:rsidRDefault="003A538A">
      <w:pPr>
        <w:pStyle w:val="a7"/>
        <w:suppressLineNumbers/>
        <w:contextualSpacing/>
        <w:jc w:val="right"/>
      </w:pPr>
      <w:r>
        <w:t>Таблица 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1"/>
        <w:gridCol w:w="3005"/>
        <w:gridCol w:w="1696"/>
        <w:gridCol w:w="1417"/>
        <w:gridCol w:w="1082"/>
      </w:tblGrid>
      <w:tr w:rsidR="004041EA">
        <w:trPr>
          <w:trHeight w:val="497"/>
          <w:tblHeader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 с особыми условиями использования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Функцио-нальная</w:t>
            </w:r>
            <w:proofErr w:type="spellEnd"/>
            <w:proofErr w:type="gramEnd"/>
          </w:p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r>
              <w:t>Статус объекта</w:t>
            </w:r>
          </w:p>
        </w:tc>
      </w:tr>
      <w:tr w:rsidR="004041EA">
        <w:trPr>
          <w:trHeight w:val="497"/>
        </w:trPr>
        <w:tc>
          <w:tcPr>
            <w:tcW w:w="2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111"/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Общеобразовательная организация  (код 60201010</w:t>
            </w:r>
            <w:r>
              <w:rPr>
                <w:color w:val="auto"/>
                <w:lang w:val="en-US"/>
              </w:rPr>
              <w:t>2</w:t>
            </w:r>
            <w:r>
              <w:rPr>
                <w:color w:val="auto"/>
              </w:rPr>
              <w:t>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f9"/>
              <w:widowControl w:val="0"/>
              <w:spacing w:after="0"/>
              <w:ind w:left="57"/>
              <w:contextualSpacing/>
            </w:pPr>
            <w:r>
              <w:t xml:space="preserve">с. </w:t>
            </w:r>
            <w:proofErr w:type="spellStart"/>
            <w:r>
              <w:t>Сысои</w:t>
            </w:r>
            <w:proofErr w:type="spellEnd"/>
            <w:r>
              <w:t>,  ул. Пажа, дом 45,</w:t>
            </w:r>
          </w:p>
          <w:p w:rsidR="004041EA" w:rsidRDefault="003A538A">
            <w:pPr>
              <w:pStyle w:val="af9"/>
              <w:widowControl w:val="0"/>
              <w:spacing w:after="0"/>
              <w:ind w:left="57"/>
              <w:contextualSpacing/>
              <w:rPr>
                <w:color w:val="auto"/>
              </w:rPr>
            </w:pPr>
            <w:r>
              <w:rPr>
                <w:color w:val="auto"/>
              </w:rPr>
              <w:t>62:17:0010208:212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TableParagraph"/>
              <w:widowControl w:val="0"/>
              <w:snapToGri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111"/>
              <w:widowControl w:val="0"/>
              <w:ind w:left="57" w:right="57"/>
              <w:contextualSpacing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Жилые зоны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041EA" w:rsidRDefault="003A538A">
            <w:pPr>
              <w:pStyle w:val="ae"/>
              <w:widowControl w:val="0"/>
              <w:rPr>
                <w:color w:val="auto"/>
              </w:rPr>
            </w:pPr>
            <w:proofErr w:type="gramStart"/>
            <w:r>
              <w:rPr>
                <w:color w:val="auto"/>
              </w:rPr>
              <w:t>Планируемый</w:t>
            </w:r>
            <w:proofErr w:type="gramEnd"/>
            <w:r>
              <w:rPr>
                <w:color w:val="auto"/>
              </w:rPr>
              <w:t xml:space="preserve"> к реконструкции</w:t>
            </w:r>
          </w:p>
        </w:tc>
      </w:tr>
    </w:tbl>
    <w:p w:rsidR="004041EA" w:rsidRDefault="003A538A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>Планируемые объекты местного значения муниципального района  отображены на карте функциональных зон поселения.</w:t>
      </w:r>
    </w:p>
    <w:p w:rsidR="004041EA" w:rsidRDefault="003A538A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Сысоевское</w:t>
      </w:r>
      <w:proofErr w:type="spellEnd"/>
      <w:r>
        <w:rPr>
          <w:rStyle w:val="-"/>
          <w:color w:val="000000"/>
          <w:szCs w:val="28"/>
          <w:u w:val="none"/>
        </w:rPr>
        <w:t xml:space="preserve"> сельское поселение </w:t>
      </w:r>
      <w:proofErr w:type="spellStart"/>
      <w:r>
        <w:rPr>
          <w:rStyle w:val="-"/>
          <w:color w:val="000000"/>
          <w:szCs w:val="28"/>
          <w:u w:val="none"/>
        </w:rPr>
        <w:t>Сараевского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значения.</w:t>
      </w:r>
    </w:p>
    <w:p w:rsidR="004041EA" w:rsidRDefault="004041EA"/>
    <w:sectPr w:rsidR="004041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1C" w:rsidRDefault="002C4E1C">
      <w:pPr>
        <w:spacing w:before="0" w:after="0"/>
      </w:pPr>
      <w:r>
        <w:separator/>
      </w:r>
    </w:p>
  </w:endnote>
  <w:endnote w:type="continuationSeparator" w:id="0">
    <w:p w:rsidR="002C4E1C" w:rsidRDefault="002C4E1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EA" w:rsidRDefault="004041E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EA" w:rsidRDefault="004041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1C" w:rsidRDefault="002C4E1C">
      <w:pPr>
        <w:spacing w:before="0" w:after="0"/>
      </w:pPr>
      <w:r>
        <w:separator/>
      </w:r>
    </w:p>
  </w:footnote>
  <w:footnote w:type="continuationSeparator" w:id="0">
    <w:p w:rsidR="002C4E1C" w:rsidRDefault="002C4E1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EA" w:rsidRDefault="003A538A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1A51EA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EA" w:rsidRDefault="004041E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31E2"/>
    <w:multiLevelType w:val="multilevel"/>
    <w:tmpl w:val="DDD866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AA0CC5"/>
    <w:multiLevelType w:val="multilevel"/>
    <w:tmpl w:val="1E7600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87D70BF"/>
    <w:multiLevelType w:val="multilevel"/>
    <w:tmpl w:val="492A2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41EA"/>
    <w:rsid w:val="001A51EA"/>
    <w:rsid w:val="002C4E1C"/>
    <w:rsid w:val="003A538A"/>
    <w:rsid w:val="004041EA"/>
    <w:rsid w:val="00755C98"/>
    <w:rsid w:val="007E0666"/>
    <w:rsid w:val="00963602"/>
    <w:rsid w:val="00A112ED"/>
    <w:rsid w:val="00A27DA0"/>
    <w:rsid w:val="00DB295E"/>
    <w:rsid w:val="00EC5E2A"/>
    <w:rsid w:val="00F1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таблица_11"/>
    <w:qFormat/>
    <w:pPr>
      <w:jc w:val="center"/>
    </w:pPr>
    <w:rPr>
      <w:rFonts w:ascii="Times New Roman" w:eastAsia="Courier New" w:hAnsi="Times New Roman" w:cs="Times New Roman"/>
      <w:sz w:val="22"/>
      <w:szCs w:val="22"/>
      <w:lang w:eastAsia="ru-RU" w:bidi="ar-SA"/>
    </w:rPr>
  </w:style>
  <w:style w:type="paragraph" w:customStyle="1" w:styleId="111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customStyle="1" w:styleId="Standard">
    <w:name w:val="Standard"/>
    <w:qFormat/>
    <w:pPr>
      <w:textAlignment w:val="baseline"/>
    </w:pPr>
    <w:rPr>
      <w:rFonts w:ascii="Calibri" w:eastAsia="Segoe UI" w:hAnsi="Calibri" w:cs="Tahoma"/>
      <w:color w:val="000000"/>
      <w:kern w:val="2"/>
      <w:sz w:val="20"/>
      <w:szCs w:val="20"/>
      <w:lang w:bidi="ar-SA"/>
    </w:rPr>
  </w:style>
  <w:style w:type="paragraph" w:customStyle="1" w:styleId="TableParagraph">
    <w:name w:val="Table Paragraph"/>
    <w:basedOn w:val="Standard"/>
    <w:qFormat/>
    <w:pPr>
      <w:spacing w:line="24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_название_таблицы"/>
    <w:basedOn w:val="a"/>
    <w:next w:val="a"/>
    <w:qFormat/>
    <w:pPr>
      <w:keepNext/>
      <w:spacing w:before="60" w:after="60"/>
    </w:pPr>
    <w:rPr>
      <w:b/>
      <w:bCs/>
      <w:sz w:val="22"/>
      <w:szCs w:val="22"/>
    </w:rPr>
  </w:style>
  <w:style w:type="paragraph" w:styleId="af8">
    <w:name w:val="No Spacing"/>
    <w:qFormat/>
    <w:rPr>
      <w:rFonts w:ascii="Liberation Serif;Times New Roma" w:hAnsi="Liberation Serif;Times New Roma" w:cs="Arial"/>
    </w:rPr>
  </w:style>
  <w:style w:type="paragraph" w:styleId="af9">
    <w:name w:val="List Paragraph"/>
    <w:basedOn w:val="a"/>
    <w:qFormat/>
    <w:pPr>
      <w:spacing w:before="0" w:after="200"/>
      <w:ind w:left="720"/>
    </w:pPr>
    <w:rPr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7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162</cp:revision>
  <cp:lastPrinted>2022-08-29T10:03:00Z</cp:lastPrinted>
  <dcterms:created xsi:type="dcterms:W3CDTF">2022-03-01T17:19:00Z</dcterms:created>
  <dcterms:modified xsi:type="dcterms:W3CDTF">2023-10-09T12:58:00Z</dcterms:modified>
  <dc:language>ru-RU</dc:language>
</cp:coreProperties>
</file>