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12B6" w:rsidRDefault="00616BCC">
      <w:pPr>
        <w:ind w:left="5669" w:firstLine="0"/>
        <w:rPr>
          <w:szCs w:val="24"/>
        </w:rPr>
      </w:pPr>
      <w:r>
        <w:t>Утверждены</w:t>
      </w:r>
    </w:p>
    <w:p w:rsidR="000E12B6" w:rsidRDefault="00616BCC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0E12B6" w:rsidRDefault="00616BCC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0E12B6" w:rsidRDefault="00616BCC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0E12B6" w:rsidRDefault="00C35055">
      <w:pPr>
        <w:ind w:left="5670" w:firstLine="0"/>
        <w:jc w:val="left"/>
        <w:rPr>
          <w:szCs w:val="24"/>
        </w:rPr>
      </w:pPr>
      <w:r>
        <w:rPr>
          <w:szCs w:val="24"/>
        </w:rPr>
        <w:t>от 06 октября 2023 г.</w:t>
      </w:r>
      <w:r w:rsidR="00616BCC">
        <w:rPr>
          <w:szCs w:val="24"/>
        </w:rPr>
        <w:t xml:space="preserve"> №</w:t>
      </w:r>
      <w:r>
        <w:rPr>
          <w:szCs w:val="24"/>
        </w:rPr>
        <w:t xml:space="preserve"> 475-п</w:t>
      </w:r>
      <w:bookmarkStart w:id="0" w:name="_GoBack"/>
      <w:bookmarkEnd w:id="0"/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0E12B6">
      <w:pPr>
        <w:pStyle w:val="af6"/>
        <w:ind w:firstLine="0"/>
        <w:jc w:val="center"/>
        <w:rPr>
          <w:sz w:val="32"/>
          <w:szCs w:val="32"/>
        </w:rPr>
      </w:pPr>
    </w:p>
    <w:p w:rsidR="000E12B6" w:rsidRDefault="00616BCC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0E12B6" w:rsidRDefault="00616BCC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Сысоевское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0E12B6" w:rsidRDefault="00616BCC">
      <w:pPr>
        <w:pStyle w:val="af6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Сараевского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  <w:rPr>
          <w:rFonts w:cs="Times New Roman"/>
          <w:sz w:val="32"/>
          <w:szCs w:val="32"/>
        </w:rPr>
      </w:pPr>
    </w:p>
    <w:p w:rsidR="000E12B6" w:rsidRDefault="000E12B6">
      <w:pPr>
        <w:pStyle w:val="af6"/>
        <w:rPr>
          <w:rFonts w:cs="Times New Roman"/>
          <w:sz w:val="32"/>
          <w:szCs w:val="32"/>
        </w:rPr>
      </w:pPr>
    </w:p>
    <w:p w:rsidR="000E12B6" w:rsidRDefault="000E12B6">
      <w:pPr>
        <w:pStyle w:val="af6"/>
        <w:rPr>
          <w:rFonts w:cs="Times New Roman"/>
          <w:sz w:val="32"/>
          <w:szCs w:val="32"/>
        </w:rPr>
      </w:pPr>
    </w:p>
    <w:p w:rsidR="000E12B6" w:rsidRDefault="000E12B6">
      <w:pPr>
        <w:pStyle w:val="af6"/>
        <w:rPr>
          <w:rFonts w:cs="Times New Roman"/>
          <w:sz w:val="32"/>
          <w:szCs w:val="32"/>
        </w:rPr>
      </w:pPr>
    </w:p>
    <w:p w:rsidR="000E12B6" w:rsidRDefault="000E12B6">
      <w:pPr>
        <w:pStyle w:val="af6"/>
        <w:rPr>
          <w:rFonts w:cs="Times New Roman"/>
          <w:sz w:val="32"/>
          <w:szCs w:val="32"/>
        </w:rPr>
      </w:pPr>
    </w:p>
    <w:p w:rsidR="000E12B6" w:rsidRDefault="000E12B6">
      <w:pPr>
        <w:pStyle w:val="af6"/>
        <w:rPr>
          <w:rFonts w:cs="Times New Roman"/>
          <w:sz w:val="32"/>
          <w:szCs w:val="32"/>
        </w:rPr>
      </w:pPr>
    </w:p>
    <w:p w:rsidR="000E12B6" w:rsidRDefault="000E12B6">
      <w:pPr>
        <w:pStyle w:val="af6"/>
        <w:rPr>
          <w:rFonts w:cs="Times New Roman"/>
          <w:sz w:val="32"/>
          <w:szCs w:val="32"/>
        </w:rPr>
      </w:pPr>
    </w:p>
    <w:p w:rsidR="000E12B6" w:rsidRDefault="00616BCC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1601090844"/>
        <w:docPartObj>
          <w:docPartGallery w:val="Table of Contents"/>
          <w:docPartUnique/>
        </w:docPartObj>
      </w:sdtPr>
      <w:sdtEndPr/>
      <w:sdtContent>
        <w:p w:rsidR="000E12B6" w:rsidRDefault="00616BCC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72">
            <w:r w:rsidR="00616BCC">
              <w:t>Статья 1. Основные понятия, используемые в правилах землепользования и застройки</w:t>
            </w:r>
            <w:r w:rsidR="00616BCC">
              <w:tab/>
              <w:t>4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73">
            <w:r w:rsidR="00616BCC">
              <w:t>Статья 2. Положение о регулировании землепользования и застройки</w:t>
            </w:r>
            <w:r w:rsidR="00616BCC">
              <w:tab/>
              <w:t>4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74">
            <w:r w:rsidR="00616BCC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616BCC">
              <w:tab/>
              <w:t>4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75">
            <w:r w:rsidR="00616BCC">
              <w:t>Статья 4. Положение о подготовке документации по планировке территории</w:t>
            </w:r>
            <w:r w:rsidR="00616BCC">
              <w:tab/>
              <w:t>6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76">
            <w:r w:rsidR="00616BCC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616BCC">
              <w:tab/>
              <w:t>6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77">
            <w:r w:rsidR="00616BCC">
              <w:t>Статья 6. Положение о внесении изменений в правила землепользования и застройки</w:t>
            </w:r>
            <w:r w:rsidR="00616BCC">
              <w:tab/>
              <w:t>7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78">
            <w:r w:rsidR="00616BCC">
              <w:t>Статья 7. Градостроительные планы земельных участков</w:t>
            </w:r>
            <w:r w:rsidR="00616BCC">
              <w:tab/>
              <w:t>8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79">
            <w:r w:rsidR="00616BCC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616BCC">
              <w:tab/>
              <w:t>9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0">
            <w:r w:rsidR="00616BCC">
              <w:t>Раздел 2. Градостроительные регламенты</w:t>
            </w:r>
            <w:r w:rsidR="00616BCC">
              <w:tab/>
              <w:t>9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1">
            <w:r w:rsidR="00616BCC">
              <w:t>Статья 9. Общие требования предъявляемые к установлению градостроительных регламентов</w:t>
            </w:r>
            <w:r w:rsidR="00616BCC">
              <w:tab/>
              <w:t>9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2">
            <w:r w:rsidR="00616BCC">
              <w:t>Статья 10. Перечень территориальных зон, выделенных на карте градостроительного зонирования</w:t>
            </w:r>
            <w:r w:rsidR="00616BCC">
              <w:tab/>
              <w:t>10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3">
            <w:r w:rsidR="00616BCC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616BCC">
              <w:tab/>
              <w:t>11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4">
            <w:r w:rsidR="00616BCC">
              <w:t>Статья 11.1. Жилые зоны (1)</w:t>
            </w:r>
            <w:r w:rsidR="00616BCC">
              <w:tab/>
              <w:t>13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411">
            <w:r w:rsidR="00616BCC">
              <w:t>Статья 11.2. Зона застройки индивидуальными жилыми домами (1.1)</w:t>
            </w:r>
            <w:r w:rsidR="00616BCC">
              <w:tab/>
              <w:t>14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6">
            <w:r w:rsidR="00616BCC">
              <w:t>Статья 11.3. Зона специализированной общественной застройки (2.2)</w:t>
            </w:r>
            <w:r w:rsidR="00616BCC">
              <w:tab/>
              <w:t>15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7">
            <w:r w:rsidR="00616BCC">
              <w:t>Статья 11.4. Производственная зона (3.1)</w:t>
            </w:r>
            <w:r w:rsidR="00616BCC">
              <w:tab/>
              <w:t>16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8">
            <w:r w:rsidR="00616BCC">
              <w:t>Статья 11.5. Зона инженерной инфраструктуры (3.3)</w:t>
            </w:r>
            <w:r w:rsidR="00616BCC">
              <w:tab/>
              <w:t>17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89">
            <w:r w:rsidR="00616BCC">
              <w:t>Статья 11.6. Зона транспортной инфраструктуры (3.4)</w:t>
            </w:r>
            <w:r w:rsidR="00616BCC">
              <w:tab/>
              <w:t>18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91">
            <w:r w:rsidR="00616BCC">
              <w:t>Статья 11.7. Зоны сельскохозяйственного использования (4.2)</w:t>
            </w:r>
            <w:r w:rsidR="00616BCC">
              <w:tab/>
              <w:t>19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92">
            <w:r w:rsidR="00616BCC">
              <w:t>Статья 11.8. Производственная зона сельскохозяйственных предприятий (4.4)</w:t>
            </w:r>
            <w:r w:rsidR="00616BCC">
              <w:tab/>
              <w:t>20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4612_1224914637">
            <w:r w:rsidR="00616BCC">
              <w:t>Статья 11.9. Зона озелененных территорий специального назначения (5.6)</w:t>
            </w:r>
            <w:r w:rsidR="00616BCC">
              <w:tab/>
              <w:t>21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93">
            <w:r w:rsidR="00616BCC">
              <w:t>Статья 11.10. Зона кладбищ (6.1)</w:t>
            </w:r>
            <w:r w:rsidR="00616BCC">
              <w:tab/>
              <w:t>22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96">
            <w:r w:rsidR="00616BCC">
              <w:t>Статья 12. Земли, для которых градостроительные регламенты не устанавливаются</w:t>
            </w:r>
            <w:r w:rsidR="00616BCC">
              <w:tab/>
              <w:t>23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97">
            <w:r w:rsidR="00616BCC"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616BCC">
              <w:tab/>
              <w:t>23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98">
            <w:r w:rsidR="00616BCC">
              <w:t>Статья 14. Зоны с особыми условиями использования территории</w:t>
            </w:r>
            <w:r w:rsidR="00616BCC">
              <w:tab/>
              <w:t>24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199">
            <w:r w:rsidR="00616BCC">
              <w:t>Статья 14.1. Санитарно-защитные зоны предприятий, сооружений и иных объектов</w:t>
            </w:r>
            <w:r w:rsidR="00616BCC">
              <w:tab/>
              <w:t>24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200">
            <w:r w:rsidR="00616BCC">
              <w:t>Статья 14.2. Водоохранные зоны и прибрежные защитные полосы водных объектов</w:t>
            </w:r>
            <w:r w:rsidR="00616BCC">
              <w:tab/>
              <w:t>25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201">
            <w:r w:rsidR="00616BCC">
              <w:t>Статья 14.3. Охранные зоны инженерных коммуникаций, сооружений</w:t>
            </w:r>
            <w:r w:rsidR="00616BCC">
              <w:tab/>
              <w:t>25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20511">
            <w:r w:rsidR="00616BCC">
              <w:t>Статья 15. Особо охраняемые природные территории и о</w:t>
            </w:r>
            <w:r w:rsidR="00616BCC">
              <w:rPr>
                <w:iCs/>
              </w:rPr>
              <w:t>хранные зоны особо охраняемых природных территорий</w:t>
            </w:r>
            <w:r w:rsidR="00616BCC">
              <w:tab/>
              <w:t>25</w:t>
            </w:r>
          </w:hyperlink>
        </w:p>
        <w:p w:rsidR="000E12B6" w:rsidRDefault="00602B34">
          <w:pPr>
            <w:pStyle w:val="16"/>
            <w:tabs>
              <w:tab w:val="right" w:leader="dot" w:pos="9921"/>
            </w:tabs>
          </w:pPr>
          <w:hyperlink w:anchor="__RefHeading___Toc88848205">
            <w:r w:rsidR="00616BCC">
              <w:t>Статья 16. Объекты культурного наследия</w:t>
            </w:r>
            <w:r w:rsidR="00616BCC">
              <w:tab/>
              <w:t>26</w:t>
            </w:r>
          </w:hyperlink>
          <w:r w:rsidR="00616BCC">
            <w:fldChar w:fldCharType="end"/>
          </w:r>
        </w:p>
      </w:sdtContent>
    </w:sdt>
    <w:p w:rsidR="000E12B6" w:rsidRDefault="000E12B6">
      <w:pPr>
        <w:pStyle w:val="af6"/>
        <w:rPr>
          <w:rFonts w:ascii="Calibri" w:hAnsi="Calibri"/>
          <w:sz w:val="22"/>
        </w:rPr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0E12B6" w:rsidRDefault="000E12B6">
      <w:pPr>
        <w:pStyle w:val="af6"/>
      </w:pPr>
    </w:p>
    <w:p w:rsidR="00933830" w:rsidRDefault="00933830">
      <w:pPr>
        <w:pStyle w:val="af6"/>
      </w:pPr>
    </w:p>
    <w:p w:rsidR="00933830" w:rsidRDefault="00933830">
      <w:pPr>
        <w:pStyle w:val="af6"/>
      </w:pPr>
    </w:p>
    <w:p w:rsidR="000E12B6" w:rsidRDefault="00616BCC">
      <w:pPr>
        <w:pStyle w:val="1"/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Сысоевское</w:t>
      </w:r>
      <w:proofErr w:type="spellEnd"/>
      <w:r>
        <w:t xml:space="preserve"> сельское поселение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Рязанской области, уполномоченный в сфере градостроительной деятельности.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Рязанской области, уполномоченный в сфере градостроительной деятельности.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  <w:proofErr w:type="gramEnd"/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0E12B6" w:rsidRDefault="000E12B6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</w:t>
      </w:r>
      <w:r w:rsidR="00AE684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</w:p>
    <w:p w:rsidR="000E12B6" w:rsidRDefault="00616BCC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12B6" w:rsidRDefault="000E12B6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</w:t>
      </w:r>
      <w:r w:rsidR="00245274">
        <w:rPr>
          <w:rFonts w:cs="Times New Roman"/>
          <w:color w:val="000000"/>
        </w:rPr>
        <w:t>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0E12B6" w:rsidRDefault="00616BCC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0E12B6" w:rsidRDefault="00616BCC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0E12B6" w:rsidRDefault="00616BCC">
      <w:pPr>
        <w:pStyle w:val="af6"/>
      </w:pPr>
      <w:r>
        <w:t>4. Градостроительные регламенты установлены с учетом:</w:t>
      </w:r>
    </w:p>
    <w:p w:rsidR="000E12B6" w:rsidRDefault="00616BCC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0E12B6" w:rsidRDefault="00616BCC">
      <w:pPr>
        <w:pStyle w:val="af6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0E12B6" w:rsidRDefault="00616BCC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0E12B6" w:rsidRDefault="00616BCC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0E12B6" w:rsidRDefault="00616BCC">
      <w:pPr>
        <w:pStyle w:val="af6"/>
        <w:rPr>
          <w:szCs w:val="28"/>
        </w:rPr>
      </w:pPr>
      <w:r>
        <w:rPr>
          <w:szCs w:val="28"/>
        </w:rPr>
        <w:t xml:space="preserve">5) требований охраны объектов культурного наследия, а также особо </w:t>
      </w:r>
      <w:r w:rsidR="00892B47">
        <w:rPr>
          <w:szCs w:val="28"/>
        </w:rPr>
        <w:t>охраняемых природных территорий</w:t>
      </w:r>
      <w:r>
        <w:rPr>
          <w:szCs w:val="28"/>
        </w:rPr>
        <w:t xml:space="preserve"> и иных природных объектов.</w:t>
      </w:r>
    </w:p>
    <w:p w:rsidR="000E12B6" w:rsidRDefault="00616BCC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F413FA">
        <w:rPr>
          <w:szCs w:val="28"/>
        </w:rPr>
        <w:t>,</w:t>
      </w:r>
      <w:r>
        <w:rPr>
          <w:szCs w:val="28"/>
        </w:rPr>
        <w:t xml:space="preserve"> указанных в части 6 настоящей статьи.</w:t>
      </w:r>
    </w:p>
    <w:p w:rsidR="000E12B6" w:rsidRDefault="00616BCC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0E12B6" w:rsidRDefault="00616BCC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0E12B6" w:rsidRDefault="00616BCC">
      <w:pPr>
        <w:pStyle w:val="af6"/>
      </w:pPr>
      <w:r>
        <w:t>2) в границах территорий общего пользования;</w:t>
      </w:r>
    </w:p>
    <w:p w:rsidR="000E12B6" w:rsidRDefault="00616BCC">
      <w:pPr>
        <w:pStyle w:val="af6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0E12B6" w:rsidRDefault="00616BCC">
      <w:pPr>
        <w:pStyle w:val="af6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0E12B6" w:rsidRDefault="000E12B6">
      <w:pPr>
        <w:pStyle w:val="af6"/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Сысоевское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eastAsia="Times New Roman"/>
          <w:spacing w:val="5"/>
          <w:szCs w:val="28"/>
        </w:rPr>
        <w:t>Сараевского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зон</w:t>
      </w:r>
      <w:r w:rsidR="00D207A6">
        <w:rPr>
          <w:rFonts w:eastAsia="Times New Roman"/>
          <w:spacing w:val="5"/>
          <w:szCs w:val="28"/>
        </w:rPr>
        <w:t>,</w:t>
      </w:r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0E12B6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9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91515" cy="32131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6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4.1pt;margin-top:2.85pt;width:54.4pt;height:25.2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Жилые зоны (1)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5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58495" cy="321310"/>
                      <wp:effectExtent l="5715" t="5715" r="4445" b="4445"/>
                      <wp:wrapNone/>
                      <wp:docPr id="3" name="Врезка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 1" path="m0,0l-2147483645,0l-2147483645,-2147483646l0,-2147483646xe" fillcolor="#ffff05" stroked="t" o:allowincell="f" style="position:absolute;margin-left:34.1pt;margin-top:2.85pt;width:51.8pt;height:25.25pt;mso-wrap-style:square;v-text-anchor:top">
                      <v:fill o:detectmouseclick="t" type="solid" color2="#0000f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110"/>
              <w:widowControl w:val="0"/>
            </w:pPr>
            <w:r>
              <w:t>Зона застройки индивидуальными жилыми домами (1.1)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76910" cy="294005"/>
                      <wp:effectExtent l="5080" t="5715" r="5080" b="4445"/>
                      <wp:wrapNone/>
                      <wp:docPr id="5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3_0" path="m0,0l-2147483645,0l-2147483645,-2147483646l0,-2147483646xe" fillcolor="#ca7af5" stroked="t" o:allowincell="f" style="position:absolute;margin-left:34.9pt;margin-top:4.1pt;width:53.25pt;height:23.1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специализированной общественной застройки (2.2)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76910" cy="294005"/>
                      <wp:effectExtent l="5080" t="5715" r="5080" b="4445"/>
                      <wp:wrapNone/>
                      <wp:docPr id="7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0E12B6" w:rsidRDefault="000E12B6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" path="m0,0l-2147483645,0l-2147483645,-2147483646l0,-2147483646xe" fillcolor="#895a44" stroked="t" o:allowincell="f" style="position:absolute;margin-left:34.9pt;margin-top:3.55pt;width:53.25pt;height:23.1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Производственная зона (3.1)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9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59055</wp:posOffset>
                      </wp:positionV>
                      <wp:extent cx="676910" cy="294005"/>
                      <wp:effectExtent l="5080" t="5715" r="5080" b="4445"/>
                      <wp:wrapNone/>
                      <wp:docPr id="9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0E12B6" w:rsidRDefault="000E12B6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" path="m0,0l-2147483645,0l-2147483645,-2147483646l0,-2147483646xe" fillcolor="#636382" stroked="t" o:allowincell="f" style="position:absolute;margin-left:35.15pt;margin-top:4.65pt;width:53.25pt;height:23.1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инженерной инфраструктуры (3.3)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7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76910" cy="294005"/>
                      <wp:effectExtent l="5080" t="5715" r="5080" b="4445"/>
                      <wp:wrapNone/>
                      <wp:docPr id="11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0E12B6" w:rsidRDefault="000E12B6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" path="m0,0l-2147483645,0l-2147483645,-2147483646l0,-2147483646xe" fillcolor="#006a91" stroked="t" o:allowincell="f" style="position:absolute;margin-left:35.15pt;margin-top:4pt;width:53.25pt;height:23.1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транспортной инфраструктуры (3.4)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76910" cy="294005"/>
                      <wp:effectExtent l="5080" t="5715" r="5080" b="4445"/>
                      <wp:wrapNone/>
                      <wp:docPr id="13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0E12B6" w:rsidRDefault="000E12B6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35.15pt;margin-top:4.5pt;width:53.25pt;height:23.1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Зоны сельскохозяйственного использования (4.2)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76910" cy="294005"/>
                      <wp:effectExtent l="5080" t="5715" r="5080" b="4445"/>
                      <wp:wrapNone/>
                      <wp:docPr id="15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fillcolor="#c0c000" stroked="t" o:allowincell="f" style="position:absolute;margin-left:34.8pt;margin-top:4.05pt;width:53.25pt;height:23.1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Производственная зона сельскохозяйственных предприятий (4.4)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76910" cy="294005"/>
                      <wp:effectExtent l="5080" t="5715" r="5080" b="4445"/>
                      <wp:wrapNone/>
                      <wp:docPr id="17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69b366" stroked="t" o:allowincell="f" style="position:absolute;margin-left:35.3pt;margin-top:4.45pt;width:53.25pt;height:23.1pt;mso-wrap-style:square;v-text-anchor:top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widowControl w:val="0"/>
              <w:ind w:lef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Зона озелененных территорий специального назначения (5.6)</w:t>
            </w:r>
          </w:p>
        </w:tc>
      </w:tr>
      <w:tr w:rsidR="000E12B6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4220" cy="376555"/>
                      <wp:effectExtent l="0" t="0" r="0" b="0"/>
                      <wp:wrapNone/>
                      <wp:docPr id="19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120" cy="376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616BCC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stroked="f" o:allowincell="f" style="position:absolute;margin-left:32.85pt;margin-top:1.8pt;width:58.55pt;height:29.6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кладбищ (6.1)</w:t>
            </w:r>
          </w:p>
        </w:tc>
      </w:tr>
    </w:tbl>
    <w:p w:rsidR="000E12B6" w:rsidRDefault="00616BCC">
      <w:pPr>
        <w:pStyle w:val="af6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0E12B6" w:rsidRDefault="000E12B6">
      <w:pPr>
        <w:pStyle w:val="af6"/>
      </w:pPr>
    </w:p>
    <w:p w:rsidR="000E12B6" w:rsidRDefault="00616BCC">
      <w:pPr>
        <w:pStyle w:val="1"/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0E12B6" w:rsidRDefault="000E12B6">
      <w:pPr>
        <w:pStyle w:val="af6"/>
      </w:pPr>
    </w:p>
    <w:p w:rsidR="000E12B6" w:rsidRDefault="00616BCC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0E12B6" w:rsidRDefault="00616BCC">
      <w:pPr>
        <w:pStyle w:val="af6"/>
      </w:pPr>
      <w:r>
        <w:t>1) основные виды разрешенного использования;</w:t>
      </w:r>
    </w:p>
    <w:p w:rsidR="000E12B6" w:rsidRDefault="00616BCC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0E12B6" w:rsidRDefault="00616BCC">
      <w:pPr>
        <w:pStyle w:val="af6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0E12B6" w:rsidRDefault="00616BCC">
      <w:pPr>
        <w:pStyle w:val="af6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0E12B6" w:rsidRDefault="00616BCC">
      <w:pPr>
        <w:pStyle w:val="af6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0E12B6" w:rsidRDefault="00616BCC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0E12B6" w:rsidRDefault="00616BCC">
      <w:pPr>
        <w:pStyle w:val="af6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 w:rsidR="00BF085C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0E12B6" w:rsidRDefault="00616BCC">
      <w:pPr>
        <w:pStyle w:val="af6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0E12B6" w:rsidRDefault="00616BCC">
      <w:pPr>
        <w:pStyle w:val="af6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0E12B6" w:rsidRDefault="00616BCC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0E12B6" w:rsidRDefault="00616BCC">
      <w:pPr>
        <w:pStyle w:val="af6"/>
      </w:pPr>
      <w:r>
        <w:rPr>
          <w:color w:val="000000"/>
          <w:szCs w:val="28"/>
        </w:rPr>
        <w:lastRenderedPageBreak/>
        <w:t>11. Процент застройки в границах земельного участка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0E12B6" w:rsidRDefault="000E12B6">
      <w:pPr>
        <w:pStyle w:val="af6"/>
        <w:rPr>
          <w:rFonts w:cs="Times New Roman"/>
          <w:color w:val="000000"/>
          <w:sz w:val="24"/>
          <w:szCs w:val="24"/>
        </w:rPr>
      </w:pPr>
    </w:p>
    <w:p w:rsidR="000E12B6" w:rsidRDefault="00616BCC">
      <w:pPr>
        <w:pStyle w:val="1"/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>Статья 11.1. Жилые зоны (1)</w:t>
      </w:r>
    </w:p>
    <w:p w:rsidR="000E12B6" w:rsidRDefault="000E12B6">
      <w:pPr>
        <w:pStyle w:val="af6"/>
        <w:rPr>
          <w:rFonts w:cs="Times New Roman"/>
          <w:sz w:val="24"/>
          <w:szCs w:val="24"/>
        </w:rPr>
      </w:pPr>
    </w:p>
    <w:p w:rsidR="000E12B6" w:rsidRDefault="00616BCC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0E12B6" w:rsidRDefault="00616BCC">
      <w:pPr>
        <w:pStyle w:val="af6"/>
        <w:numPr>
          <w:ilvl w:val="0"/>
          <w:numId w:val="1"/>
        </w:numPr>
        <w:ind w:firstLine="567"/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жилых зонах</w:t>
      </w:r>
      <w:r>
        <w:rPr>
          <w:rFonts w:eastAsia="XO Thames;Times New Roman"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Наименование вида</w:t>
            </w:r>
          </w:p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Код вида разрешенного использования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spacing w:line="283" w:lineRule="exact"/>
              <w:ind w:left="57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12.0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4.7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0E12B6" w:rsidRPr="00984FB4" w:rsidRDefault="00616BCC" w:rsidP="00984FB4">
      <w:pPr>
        <w:pStyle w:val="af6"/>
        <w:numPr>
          <w:ilvl w:val="0"/>
          <w:numId w:val="1"/>
        </w:numPr>
        <w:ind w:firstLine="56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 </w:t>
      </w:r>
      <w:r>
        <w:rPr>
          <w:rFonts w:eastAsia="Times New Roman" w:cs="Times New Roman"/>
          <w:szCs w:val="28"/>
          <w:lang w:eastAsia="ru-RU"/>
        </w:rPr>
        <w:t xml:space="preserve">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p w:rsidR="00984FB4" w:rsidRDefault="00984FB4" w:rsidP="00984FB4">
      <w:pPr>
        <w:pStyle w:val="af6"/>
        <w:rPr>
          <w:rFonts w:cs="Times New Roman"/>
          <w:szCs w:val="28"/>
        </w:rPr>
      </w:pPr>
    </w:p>
    <w:p w:rsidR="00984FB4" w:rsidRDefault="00984FB4" w:rsidP="00984FB4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3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0E12B6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0E12B6" w:rsidRDefault="00616BCC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0E12B6" w:rsidRDefault="000E12B6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0E12B6" w:rsidRDefault="000E12B6">
      <w:pPr>
        <w:pStyle w:val="1"/>
        <w:ind w:firstLine="567"/>
        <w:contextualSpacing/>
      </w:pPr>
    </w:p>
    <w:p w:rsidR="000E12B6" w:rsidRDefault="00616BCC">
      <w:pPr>
        <w:pStyle w:val="1"/>
        <w:ind w:firstLine="567"/>
        <w:contextualSpacing/>
      </w:pPr>
      <w:bookmarkStart w:id="15" w:name="__RefHeading___Toc8884818411"/>
      <w:bookmarkEnd w:id="15"/>
      <w:r>
        <w:rPr>
          <w:rFonts w:cs="Times New Roman"/>
        </w:rPr>
        <w:t>Статья 11.2. Зона застройки индивидуальными жилыми домами (1.1)</w:t>
      </w:r>
    </w:p>
    <w:p w:rsidR="000E12B6" w:rsidRDefault="000E12B6">
      <w:pPr>
        <w:pStyle w:val="af6"/>
        <w:rPr>
          <w:rFonts w:cs="Times New Roman"/>
          <w:sz w:val="24"/>
          <w:szCs w:val="24"/>
        </w:rPr>
      </w:pPr>
    </w:p>
    <w:p w:rsidR="000E12B6" w:rsidRDefault="00616BCC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малоэтажных многоквартирных и блокированных жилых домов, с возможностью размещения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государственного, муниципального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Cs w:val="28"/>
        </w:rPr>
        <w:t>вания.</w:t>
      </w:r>
    </w:p>
    <w:p w:rsidR="000E12B6" w:rsidRDefault="00616BCC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8"/>
        <w:gridCol w:w="1757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lastRenderedPageBreak/>
              <w:t>Вид разрешенного использования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77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0E12B6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0E12B6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0E12B6" w:rsidRDefault="00616BCC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0E12B6" w:rsidRDefault="000E12B6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0E12B6" w:rsidRDefault="000E12B6">
      <w:pPr>
        <w:pStyle w:val="af6"/>
        <w:contextualSpacing/>
        <w:rPr>
          <w:szCs w:val="28"/>
        </w:rPr>
      </w:pPr>
    </w:p>
    <w:p w:rsidR="000E12B6" w:rsidRDefault="00616BCC">
      <w:pPr>
        <w:pStyle w:val="1"/>
        <w:ind w:firstLine="567"/>
        <w:rPr>
          <w:rFonts w:cs="Times New Roman"/>
        </w:rPr>
      </w:pPr>
      <w:bookmarkStart w:id="16" w:name="__RefHeading___Toc88848186"/>
      <w:bookmarkEnd w:id="16"/>
      <w:r>
        <w:rPr>
          <w:rFonts w:cs="Times New Roman"/>
        </w:rPr>
        <w:t>Статья 11.3. Зона специализированной общественной застройки (2.2)</w:t>
      </w:r>
    </w:p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af6"/>
        <w:numPr>
          <w:ilvl w:val="0"/>
          <w:numId w:val="1"/>
        </w:numPr>
        <w:ind w:firstLine="567"/>
        <w:rPr>
          <w:rFonts w:cs="Times New Roman"/>
        </w:rPr>
      </w:pPr>
      <w:r>
        <w:rPr>
          <w:rStyle w:val="20"/>
          <w:rFonts w:cs="Times New Roman"/>
          <w:szCs w:val="28"/>
          <w:lang w:eastAsia="ar-SA"/>
        </w:rPr>
        <w:t>1. Зона специализированной общественной застройки</w:t>
      </w:r>
      <w:r>
        <w:rPr>
          <w:rFonts w:cs="Times New Roman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0E12B6" w:rsidRDefault="00616BCC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p w:rsidR="00BF6CFE" w:rsidRDefault="00BF6CFE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3.6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3.7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9.3</w:t>
            </w:r>
          </w:p>
        </w:tc>
      </w:tr>
      <w:tr w:rsidR="000E12B6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0E12B6">
        <w:trPr>
          <w:trHeight w:val="4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0E12B6">
        <w:trPr>
          <w:trHeight w:val="145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E12B6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9.3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1"/>
        <w:ind w:firstLine="567"/>
        <w:rPr>
          <w:rFonts w:cs="Times New Roman"/>
        </w:rPr>
      </w:pPr>
      <w:bookmarkStart w:id="17" w:name="__RefHeading___Toc88848187"/>
      <w:bookmarkEnd w:id="1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Производственная зона (3.1)</w:t>
      </w:r>
    </w:p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af6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виды </w:t>
            </w:r>
            <w:r>
              <w:lastRenderedPageBreak/>
              <w:t>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lastRenderedPageBreak/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недропользование.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6.1</w:t>
            </w:r>
          </w:p>
        </w:tc>
      </w:tr>
      <w:tr w:rsidR="000E12B6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0E12B6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E12B6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E12B6" w:rsidRDefault="000E12B6">
      <w:pPr>
        <w:pStyle w:val="af6"/>
        <w:rPr>
          <w:sz w:val="20"/>
          <w:szCs w:val="20"/>
        </w:rPr>
      </w:pPr>
    </w:p>
    <w:p w:rsidR="000E12B6" w:rsidRDefault="00616BCC">
      <w:pPr>
        <w:pStyle w:val="1"/>
        <w:ind w:firstLine="567"/>
        <w:contextualSpacing/>
      </w:pPr>
      <w:bookmarkStart w:id="18" w:name="__RefHeading___Toc88848188"/>
      <w:bookmarkEnd w:id="18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5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(3.3)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3.9.1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77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E12B6">
        <w:trPr>
          <w:tblHeader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1"/>
        <w:ind w:firstLine="567"/>
      </w:pPr>
      <w:bookmarkStart w:id="19" w:name="__RefHeading___Toc88848189"/>
      <w:bookmarkEnd w:id="19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6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af6"/>
        <w:numPr>
          <w:ilvl w:val="0"/>
          <w:numId w:val="1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автомобильного, дорожного сервиса, улично-дорожной сети.</w:t>
      </w:r>
    </w:p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7.2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12.0.1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0E12B6" w:rsidRDefault="00616BCC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p w:rsidR="00575B48" w:rsidRDefault="00575B48">
      <w:pPr>
        <w:pStyle w:val="af6"/>
        <w:rPr>
          <w:rFonts w:cs="Times New Roman"/>
          <w:szCs w:val="28"/>
        </w:rPr>
      </w:pPr>
    </w:p>
    <w:p w:rsidR="00575B48" w:rsidRDefault="00575B48">
      <w:pPr>
        <w:pStyle w:val="af6"/>
        <w:rPr>
          <w:rFonts w:cs="Times New Roman"/>
          <w:szCs w:val="28"/>
        </w:rPr>
      </w:pPr>
    </w:p>
    <w:p w:rsidR="00575B48" w:rsidRDefault="00575B48">
      <w:pPr>
        <w:pStyle w:val="af6"/>
        <w:rPr>
          <w:rFonts w:cs="Times New Roman"/>
          <w:szCs w:val="28"/>
        </w:rPr>
      </w:pPr>
    </w:p>
    <w:p w:rsidR="00575B48" w:rsidRDefault="00575B48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E12B6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1"/>
        <w:ind w:firstLine="567"/>
        <w:rPr>
          <w:rFonts w:cs="Times New Roman"/>
        </w:rPr>
      </w:pPr>
      <w:bookmarkStart w:id="20" w:name="__RefHeading___Toc88848191"/>
      <w:bookmarkEnd w:id="20"/>
      <w:r>
        <w:rPr>
          <w:rFonts w:cs="Times New Roman"/>
        </w:rPr>
        <w:t>Статья 11.7. Зоны сельскохозяйственного использования (4.2)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57" w:firstLine="567"/>
            </w:pPr>
            <w:r>
              <w:t>-</w:t>
            </w:r>
          </w:p>
        </w:tc>
      </w:tr>
    </w:tbl>
    <w:p w:rsidR="000E12B6" w:rsidRDefault="00616BCC">
      <w:pPr>
        <w:pStyle w:val="af6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77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E12B6">
        <w:trPr>
          <w:tblHeader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1"/>
        <w:ind w:firstLine="567"/>
        <w:contextualSpacing/>
      </w:pPr>
      <w:bookmarkStart w:id="21" w:name="__RefHeading___Toc88848192"/>
      <w:bookmarkEnd w:id="21"/>
      <w:r>
        <w:rPr>
          <w:rFonts w:eastAsia="Times New Roman" w:cs="Times New Roman"/>
        </w:rPr>
        <w:t>Статья 11.8.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0E12B6" w:rsidRDefault="000E12B6">
      <w:pPr>
        <w:pStyle w:val="af6"/>
        <w:rPr>
          <w:sz w:val="20"/>
          <w:szCs w:val="20"/>
        </w:rPr>
      </w:pPr>
    </w:p>
    <w:p w:rsidR="000E12B6" w:rsidRDefault="00616BCC">
      <w:pPr>
        <w:pStyle w:val="af6"/>
        <w:rPr>
          <w:rFonts w:cs="Times New Roman"/>
          <w:szCs w:val="28"/>
        </w:rPr>
      </w:pPr>
      <w: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E12B6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1.7</w:t>
            </w:r>
          </w:p>
        </w:tc>
      </w:tr>
      <w:tr w:rsidR="000E12B6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1.17</w:t>
            </w:r>
          </w:p>
        </w:tc>
      </w:tr>
      <w:tr w:rsidR="000E12B6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1.18</w:t>
            </w:r>
          </w:p>
        </w:tc>
      </w:tr>
      <w:tr w:rsidR="000E12B6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1.3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1.4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1.5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1.6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1.12</w:t>
            </w:r>
          </w:p>
        </w:tc>
      </w:tr>
      <w:tr w:rsidR="000E12B6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0E12B6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spacing w:line="255" w:lineRule="exact"/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778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0E12B6">
        <w:trPr>
          <w:tblHeader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</w:t>
            </w:r>
            <w:r>
              <w:rPr>
                <w:color w:val="000000"/>
              </w:rPr>
              <w:t>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0E12B6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1"/>
        <w:ind w:firstLine="567"/>
        <w:rPr>
          <w:rFonts w:cs="Times New Roman"/>
        </w:rPr>
      </w:pPr>
      <w:bookmarkStart w:id="22" w:name="__RefHeading___Toc4612_1224914637"/>
      <w:bookmarkEnd w:id="22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9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0E12B6" w:rsidRDefault="000E12B6">
      <w:pPr>
        <w:pStyle w:val="af6"/>
        <w:rPr>
          <w:rFonts w:cs="Times New Roman"/>
          <w:sz w:val="32"/>
          <w:szCs w:val="32"/>
        </w:rPr>
      </w:pPr>
    </w:p>
    <w:p w:rsidR="000E12B6" w:rsidRDefault="00616BCC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защитные и</w:t>
      </w:r>
      <w:r w:rsidR="0071220E">
        <w:rPr>
          <w:rStyle w:val="20"/>
          <w:rFonts w:eastAsia="Times New Roman" w:cs="Times New Roman"/>
          <w:szCs w:val="28"/>
          <w:lang w:eastAsia="ru-RU"/>
        </w:rPr>
        <w:t xml:space="preserve"> санитарно-гигиенические функции</w:t>
      </w:r>
      <w:r>
        <w:rPr>
          <w:rStyle w:val="20"/>
          <w:rFonts w:eastAsia="Times New Roman" w:cs="Times New Roman"/>
          <w:szCs w:val="28"/>
          <w:lang w:eastAsia="ru-RU"/>
        </w:rPr>
        <w:t>.</w:t>
      </w:r>
    </w:p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E12B6">
        <w:trPr>
          <w:trHeight w:val="6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0E12B6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0E12B6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0E12B6" w:rsidRDefault="00616BCC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E12B6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1"/>
        <w:ind w:firstLine="567"/>
      </w:pPr>
      <w:bookmarkStart w:id="23" w:name="__RefHeading___Toc88848193"/>
      <w:bookmarkEnd w:id="23"/>
      <w:r>
        <w:rPr>
          <w:rFonts w:cs="Times New Roman"/>
        </w:rPr>
        <w:t>Статья 11.10. Зона кладбищ (6.1)</w:t>
      </w:r>
    </w:p>
    <w:p w:rsidR="000E12B6" w:rsidRDefault="000E12B6">
      <w:pPr>
        <w:pStyle w:val="af6"/>
        <w:rPr>
          <w:rFonts w:cs="Times New Roman"/>
          <w:szCs w:val="28"/>
        </w:rPr>
      </w:pPr>
    </w:p>
    <w:p w:rsidR="000E12B6" w:rsidRDefault="00616BCC">
      <w:pPr>
        <w:pStyle w:val="af6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E12B6" w:rsidRDefault="00616BCC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E12B6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12.1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0E12B6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0E12B6" w:rsidRDefault="00616BC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0E12B6" w:rsidRDefault="00616BCC">
      <w:pPr>
        <w:pStyle w:val="af6"/>
        <w:rPr>
          <w:rFonts w:cs="Times New Roman"/>
          <w:szCs w:val="28"/>
        </w:rPr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p w:rsidR="00A46FF3" w:rsidRDefault="00A46FF3">
      <w:pPr>
        <w:pStyle w:val="af6"/>
        <w:rPr>
          <w:rFonts w:cs="Times New Roman"/>
          <w:szCs w:val="28"/>
        </w:rPr>
      </w:pPr>
    </w:p>
    <w:p w:rsidR="00A46FF3" w:rsidRDefault="00A46FF3">
      <w:pPr>
        <w:pStyle w:val="af6"/>
        <w:rPr>
          <w:rFonts w:cs="Times New Roman"/>
          <w:szCs w:val="28"/>
        </w:rPr>
      </w:pPr>
    </w:p>
    <w:p w:rsidR="00A46FF3" w:rsidRDefault="00A46FF3">
      <w:pPr>
        <w:pStyle w:val="af6"/>
        <w:rPr>
          <w:rFonts w:cs="Times New Roman"/>
          <w:szCs w:val="28"/>
        </w:rPr>
      </w:pPr>
    </w:p>
    <w:p w:rsidR="00A46FF3" w:rsidRDefault="00A46FF3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0E12B6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0E12B6" w:rsidRDefault="00616BCC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0E12B6" w:rsidRDefault="00616BCC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0E12B6">
            <w:pPr>
              <w:pStyle w:val="aff1"/>
              <w:widowControl w:val="0"/>
              <w:ind w:left="0"/>
              <w:jc w:val="center"/>
            </w:pP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0E12B6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0E12B6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E12B6" w:rsidRDefault="000E12B6">
      <w:pPr>
        <w:rPr>
          <w:rFonts w:cs="Times New Roman"/>
        </w:rPr>
      </w:pPr>
    </w:p>
    <w:p w:rsidR="000E12B6" w:rsidRDefault="00616BCC">
      <w:pPr>
        <w:pStyle w:val="1"/>
        <w:ind w:firstLine="567"/>
      </w:pPr>
      <w:bookmarkStart w:id="24" w:name="__RefHeading___Toc88848196"/>
      <w:bookmarkEnd w:id="24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0E12B6" w:rsidRDefault="000E12B6">
      <w:pPr>
        <w:pStyle w:val="af6"/>
        <w:rPr>
          <w:rFonts w:cs="Times New Roman"/>
          <w:sz w:val="20"/>
          <w:szCs w:val="20"/>
        </w:rPr>
      </w:pPr>
    </w:p>
    <w:p w:rsidR="000E12B6" w:rsidRDefault="00616BCC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 xml:space="preserve">1. В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Times New Roman" w:cs="Times New Roman"/>
          <w:spacing w:val="5"/>
          <w:szCs w:val="28"/>
        </w:rPr>
        <w:t>Сысоевское</w:t>
      </w:r>
      <w:proofErr w:type="spellEnd"/>
      <w:r>
        <w:rPr>
          <w:rFonts w:eastAsia="Times New Roman" w:cs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cs="Times New Roman"/>
          <w:spacing w:val="5"/>
          <w:szCs w:val="28"/>
        </w:rPr>
        <w:t>Сараевского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 муниципального района Рязанской области выделены земли, для которых градостроительные регламенты не устанавливаются,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0E12B6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t>Обозначение</w:t>
            </w:r>
          </w:p>
          <w:p w:rsidR="000E12B6" w:rsidRDefault="00616BCC">
            <w:pPr>
              <w:pStyle w:val="aff1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t>Наименование земель</w:t>
            </w:r>
          </w:p>
        </w:tc>
      </w:tr>
      <w:tr w:rsidR="000E12B6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0E12B6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0E12B6">
            <w:pPr>
              <w:widowControl w:val="0"/>
              <w:snapToGrid w:val="0"/>
            </w:pPr>
          </w:p>
        </w:tc>
      </w:tr>
      <w:tr w:rsidR="000E12B6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1" behindDoc="0" locked="0" layoutInCell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676910" cy="294005"/>
                      <wp:effectExtent l="5080" t="5715" r="5080" b="4445"/>
                      <wp:wrapNone/>
                      <wp:docPr id="22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0E12B6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2" path="m0,0l-2147483645,0l-2147483645,-2147483646l0,-2147483646xe" fillcolor="#c4e6b2" stroked="t" o:allowincell="f" style="position:absolute;margin-left:35.05pt;margin-top:5.5pt;width:53.25pt;height:23.1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  <w:tr w:rsidR="000E12B6">
        <w:trPr>
          <w:trHeight w:val="695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3" behindDoc="0" locked="0" layoutInCell="0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75565</wp:posOffset>
                      </wp:positionV>
                      <wp:extent cx="687705" cy="312420"/>
                      <wp:effectExtent l="5715" t="5080" r="4445" b="5080"/>
                      <wp:wrapNone/>
                      <wp:docPr id="24" name="Врезка13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E12B6" w:rsidRDefault="000E12B6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 1" path="m0,0l-2147483645,0l-2147483645,-2147483646l0,-2147483646xe" fillcolor="#d0e0b0" stroked="t" o:allowincell="f" style="position:absolute;margin-left:33.7pt;margin-top:5.95pt;width:54.1pt;height:24.55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E12B6" w:rsidRDefault="00616BCC">
            <w:pPr>
              <w:pStyle w:val="aff1"/>
              <w:widowControl w:val="0"/>
              <w:ind w:left="57"/>
            </w:pPr>
            <w:r>
              <w:t>Зона сельскохозяйственных угодий</w:t>
            </w:r>
          </w:p>
        </w:tc>
      </w:tr>
    </w:tbl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</w:t>
      </w:r>
      <w:r>
        <w:rPr>
          <w:rFonts w:eastAsia="Times New Roman" w:cs="Times New Roman"/>
          <w:bCs/>
          <w:color w:val="000000"/>
          <w:spacing w:val="2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земель лесного фонда и зоны сельскохозяйственных угодий.</w:t>
      </w:r>
    </w:p>
    <w:p w:rsidR="000E12B6" w:rsidRDefault="00616BCC">
      <w:pPr>
        <w:pStyle w:val="af6"/>
        <w:contextualSpacing/>
      </w:pPr>
      <w:bookmarkStart w:id="25" w:name="__RefHeading___Toc8171_427537143"/>
      <w:bookmarkEnd w:id="25"/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3. 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0E12B6" w:rsidRDefault="000E12B6">
      <w:pPr>
        <w:pStyle w:val="af6"/>
        <w:contextualSpacing/>
      </w:pPr>
    </w:p>
    <w:p w:rsidR="000E12B6" w:rsidRDefault="00616BCC">
      <w:pPr>
        <w:pStyle w:val="1"/>
        <w:ind w:firstLine="567"/>
        <w:contextualSpacing/>
      </w:pPr>
      <w:bookmarkStart w:id="26" w:name="__RefHeading___Toc88848197"/>
      <w:bookmarkEnd w:id="26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0E12B6" w:rsidRDefault="000E12B6">
      <w:pPr>
        <w:pStyle w:val="af6"/>
        <w:rPr>
          <w:rFonts w:cs="Times New Roman"/>
          <w:color w:val="000000"/>
          <w:sz w:val="24"/>
          <w:szCs w:val="24"/>
        </w:rPr>
      </w:pPr>
    </w:p>
    <w:p w:rsidR="000E12B6" w:rsidRDefault="00616BCC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Сысоевсого</w:t>
      </w:r>
      <w:proofErr w:type="spellEnd"/>
      <w:r>
        <w:t xml:space="preserve"> сельского поселения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</w:t>
      </w:r>
      <w:r>
        <w:lastRenderedPageBreak/>
        <w:t>указанных объектов для населения  в соответствии с пунктом 4 части 6 статьи 30 Градостроительно</w:t>
      </w:r>
      <w:r w:rsidR="00AC5328">
        <w:t>го кодекса Российской Федерации</w:t>
      </w:r>
      <w:r>
        <w:t xml:space="preserve"> не устанавливаются.</w:t>
      </w:r>
    </w:p>
    <w:p w:rsidR="000E12B6" w:rsidRDefault="000E12B6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7" w:name="__RefHeading___Toc88848198"/>
      <w:bookmarkEnd w:id="27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0E12B6" w:rsidRDefault="000E12B6">
      <w:pPr>
        <w:pStyle w:val="af6"/>
        <w:rPr>
          <w:rFonts w:cs="Times New Roman"/>
          <w:sz w:val="20"/>
          <w:szCs w:val="20"/>
        </w:rPr>
      </w:pPr>
    </w:p>
    <w:p w:rsidR="000E12B6" w:rsidRDefault="00616BCC">
      <w:pPr>
        <w:pStyle w:val="af6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0E12B6" w:rsidRDefault="00616BCC">
      <w:pPr>
        <w:pStyle w:val="af6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</w:t>
      </w:r>
      <w:r w:rsidR="00BC4577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BC4577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Сысоевского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Сараевского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0E12B6" w:rsidRDefault="00616BCC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Федерации.</w:t>
      </w:r>
    </w:p>
    <w:p w:rsidR="000E12B6" w:rsidRDefault="000E12B6">
      <w:pPr>
        <w:pStyle w:val="af6"/>
        <w:rPr>
          <w:sz w:val="20"/>
          <w:szCs w:val="20"/>
        </w:rPr>
      </w:pPr>
    </w:p>
    <w:p w:rsidR="000E12B6" w:rsidRDefault="00616BCC">
      <w:pPr>
        <w:pStyle w:val="1"/>
        <w:ind w:firstLine="567"/>
        <w:contextualSpacing/>
      </w:pPr>
      <w:bookmarkStart w:id="28" w:name="__RefHeading___Toc88848199"/>
      <w:bookmarkEnd w:id="28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0E12B6" w:rsidRDefault="000E12B6">
      <w:pPr>
        <w:pStyle w:val="af6"/>
        <w:rPr>
          <w:rFonts w:cs="Times New Roman"/>
          <w:color w:val="000000"/>
          <w:sz w:val="20"/>
          <w:szCs w:val="20"/>
        </w:rPr>
      </w:pPr>
    </w:p>
    <w:p w:rsidR="000E12B6" w:rsidRDefault="00616BCC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0E12B6" w:rsidRDefault="00616BCC">
      <w:pPr>
        <w:pStyle w:val="af6"/>
      </w:pPr>
      <w:r>
        <w:t xml:space="preserve">2. Ширина санитарно-защитной зоны устанавливается с учетом санитарной классификации, результатов расчетов ожидаемого загрязнения атмосферного </w:t>
      </w:r>
      <w:r>
        <w:lastRenderedPageBreak/>
        <w:t>во</w:t>
      </w:r>
      <w:r w:rsidR="008B045D">
        <w:t xml:space="preserve">здуха, </w:t>
      </w:r>
      <w:r>
        <w:t>уровней физических воздействий</w:t>
      </w:r>
      <w:r w:rsidR="008B045D">
        <w:t xml:space="preserve"> и натуральных исследований</w:t>
      </w:r>
      <w:r>
        <w:t xml:space="preserve"> для действующих предприятий.</w:t>
      </w:r>
    </w:p>
    <w:p w:rsidR="000E12B6" w:rsidRDefault="00616BCC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0E12B6" w:rsidRDefault="000E12B6">
      <w:pPr>
        <w:pStyle w:val="af6"/>
        <w:rPr>
          <w:szCs w:val="28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9" w:name="__RefHeading___Toc88848200"/>
      <w:bookmarkEnd w:id="29"/>
      <w:r>
        <w:rPr>
          <w:rFonts w:cs="Times New Roman"/>
          <w:color w:val="000000"/>
          <w:shd w:val="clear" w:color="auto" w:fill="auto"/>
        </w:rPr>
        <w:t xml:space="preserve">Статья 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прибрежные защитные полосы водных объектов</w:t>
      </w:r>
    </w:p>
    <w:p w:rsidR="000E12B6" w:rsidRDefault="000E12B6">
      <w:pPr>
        <w:pStyle w:val="af6"/>
        <w:rPr>
          <w:rFonts w:cs="Times New Roman"/>
          <w:color w:val="000000"/>
          <w:sz w:val="20"/>
          <w:szCs w:val="20"/>
        </w:rPr>
      </w:pPr>
    </w:p>
    <w:p w:rsidR="000E12B6" w:rsidRDefault="00616BCC">
      <w:pPr>
        <w:pStyle w:val="af6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0E12B6" w:rsidRDefault="00616BCC">
      <w:pPr>
        <w:pStyle w:val="af6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0E12B6" w:rsidRDefault="00616BCC">
      <w:pPr>
        <w:pStyle w:val="af6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0E12B6" w:rsidRDefault="000E12B6">
      <w:pPr>
        <w:pStyle w:val="af6"/>
        <w:rPr>
          <w:color w:val="000000"/>
          <w:szCs w:val="28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0" w:name="__RefHeading___Toc88848201"/>
      <w:bookmarkEnd w:id="30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0E12B6" w:rsidRDefault="000E12B6">
      <w:pPr>
        <w:pStyle w:val="af6"/>
        <w:rPr>
          <w:rFonts w:cs="Times New Roman"/>
          <w:sz w:val="20"/>
          <w:szCs w:val="20"/>
        </w:rPr>
      </w:pPr>
    </w:p>
    <w:p w:rsidR="000E12B6" w:rsidRDefault="00616BCC">
      <w:pPr>
        <w:pStyle w:val="af6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0E12B6" w:rsidRDefault="00616BCC">
      <w:pPr>
        <w:pStyle w:val="af6"/>
        <w:rPr>
          <w:szCs w:val="28"/>
        </w:rPr>
      </w:pPr>
      <w:r>
        <w:rPr>
          <w:rFonts w:cs="Times New Roman"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0E12B6" w:rsidRDefault="000E12B6">
      <w:pPr>
        <w:pStyle w:val="1"/>
        <w:ind w:firstLine="567"/>
        <w:contextualSpacing/>
        <w:rPr>
          <w:rFonts w:cs="Times New Roman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31" w:name="__RefHeading___Toc8884820511"/>
      <w:bookmarkEnd w:id="31"/>
      <w:r>
        <w:rPr>
          <w:rFonts w:cs="Times New Roman"/>
        </w:rPr>
        <w:t xml:space="preserve">Статья </w:t>
      </w:r>
      <w:bookmarkStart w:id="32" w:name="_Toc12"/>
      <w:r>
        <w:rPr>
          <w:rFonts w:cs="Times New Roman"/>
        </w:rPr>
        <w:t>1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 xml:space="preserve">. 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Особо охраняемые природные территории</w:t>
      </w:r>
      <w:bookmarkEnd w:id="32"/>
      <w:r>
        <w:rPr>
          <w:rFonts w:eastAsia="Times New Roman" w:cs="Times New Roman"/>
          <w:color w:val="000000"/>
          <w:shd w:val="clear" w:color="auto" w:fill="auto"/>
          <w:lang w:eastAsia="ru-RU"/>
        </w:rPr>
        <w:t xml:space="preserve"> и  о</w:t>
      </w:r>
      <w:r>
        <w:rPr>
          <w:rFonts w:eastAsia="Times New Roman" w:cs="Times New Roman"/>
          <w:iCs/>
          <w:color w:val="000000"/>
          <w:shd w:val="clear" w:color="auto" w:fill="auto"/>
        </w:rPr>
        <w:t>хранные зоны особо охраняемых природных территорий</w:t>
      </w:r>
    </w:p>
    <w:p w:rsidR="000E12B6" w:rsidRDefault="000E12B6">
      <w:pPr>
        <w:spacing w:line="276" w:lineRule="auto"/>
        <w:ind w:right="-2"/>
        <w:contextualSpacing/>
        <w:rPr>
          <w:sz w:val="28"/>
          <w:szCs w:val="28"/>
        </w:rPr>
      </w:pPr>
    </w:p>
    <w:p w:rsidR="000E12B6" w:rsidRDefault="00616BCC">
      <w:pPr>
        <w:pStyle w:val="af6"/>
        <w:rPr>
          <w:rFonts w:eastAsia="Times New Roman" w:cs="Times New Roman"/>
          <w:iCs/>
          <w:szCs w:val="28"/>
        </w:rPr>
      </w:pPr>
      <w:proofErr w:type="gramStart"/>
      <w:r>
        <w:rPr>
          <w:rFonts w:eastAsia="Times New Roman" w:cs="Times New Roman"/>
          <w:iCs/>
          <w:szCs w:val="28"/>
        </w:rPr>
        <w:t xml:space="preserve">Согласно Федерального закона от 14 марта 1995 года № 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</w:t>
      </w:r>
      <w:r>
        <w:rPr>
          <w:rFonts w:eastAsia="Times New Roman" w:cs="Times New Roman"/>
          <w:iCs/>
          <w:szCs w:val="28"/>
        </w:rPr>
        <w:lastRenderedPageBreak/>
        <w:t>власти полностью или частично из хозяйственного использования и для</w:t>
      </w:r>
      <w:proofErr w:type="gramEnd"/>
      <w:r>
        <w:rPr>
          <w:rFonts w:eastAsia="Times New Roman" w:cs="Times New Roman"/>
          <w:iCs/>
          <w:szCs w:val="28"/>
        </w:rPr>
        <w:t xml:space="preserve"> </w:t>
      </w:r>
      <w:proofErr w:type="gramStart"/>
      <w:r>
        <w:rPr>
          <w:rFonts w:eastAsia="Times New Roman" w:cs="Times New Roman"/>
          <w:iCs/>
          <w:szCs w:val="28"/>
        </w:rPr>
        <w:t>которых</w:t>
      </w:r>
      <w:proofErr w:type="gramEnd"/>
      <w:r>
        <w:rPr>
          <w:rFonts w:eastAsia="Times New Roman" w:cs="Times New Roman"/>
          <w:iCs/>
          <w:szCs w:val="28"/>
        </w:rPr>
        <w:t xml:space="preserve"> установлен режим особой охраны.</w:t>
      </w:r>
    </w:p>
    <w:p w:rsidR="000E12B6" w:rsidRDefault="00616BCC">
      <w:pPr>
        <w:pStyle w:val="af6"/>
        <w:contextualSpacing/>
        <w:rPr>
          <w:color w:val="000000"/>
        </w:rPr>
      </w:pPr>
      <w:r>
        <w:rPr>
          <w:rFonts w:eastAsia="Times New Roman" w:cs="Times New Roman"/>
          <w:iCs/>
          <w:color w:val="000000"/>
          <w:kern w:val="2"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shd w:val="clear" w:color="auto" w:fill="FFFFFF"/>
        </w:rPr>
        <w:t>Сысоевского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</w:rPr>
        <w:t xml:space="preserve"> сельского поселения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</w:rPr>
        <w:t>Сараевского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</w:rPr>
        <w:t xml:space="preserve"> муниципального района Рязанской области располагаются  следующие особо охраняемые природные территории областного (регионального) значения.</w:t>
      </w:r>
    </w:p>
    <w:p w:rsidR="000E12B6" w:rsidRDefault="00616BCC">
      <w:pPr>
        <w:pStyle w:val="af6"/>
        <w:contextualSpacing/>
        <w:rPr>
          <w:color w:val="000000"/>
        </w:rPr>
      </w:pPr>
      <w:r>
        <w:rPr>
          <w:rFonts w:eastAsia="Times New Roman" w:cs="Times New Roman"/>
          <w:iCs/>
          <w:color w:val="000000"/>
          <w:kern w:val="2"/>
          <w:szCs w:val="28"/>
        </w:rPr>
        <w:t>- Государственный природный заказник областного значения «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</w:rPr>
        <w:t>Белореченский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</w:rPr>
        <w:t xml:space="preserve">», образованного Решением Исполкома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</w:rPr>
        <w:t>Рязоблсовета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</w:rPr>
        <w:t xml:space="preserve"> депутатов трудящихся от 03.08.1970 N 242 «О мерах по сохранению и воспроизводству охотничьей фауны» в соответствии с Постановлением Главы Администрации Рязанской области от 06.07.1998 г. № 318 «О государственных природных заказниках Рязанской области» установлен неограниченный срок действия заказника. Паспорт особо охраняемой природной территории утвержден Решением Исполкома Рязанского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</w:rPr>
        <w:t>облсовета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</w:rPr>
        <w:t xml:space="preserve"> НД от 17.08.1990 № 203/9 «О закреплении охотничьих угодий» </w:t>
      </w:r>
      <w:r w:rsidRPr="00933830">
        <w:rPr>
          <w:rFonts w:eastAsia="Times New Roman" w:cs="Times New Roman"/>
          <w:iCs/>
          <w:color w:val="000000"/>
          <w:kern w:val="2"/>
          <w:szCs w:val="28"/>
        </w:rPr>
        <w:t>(</w:t>
      </w:r>
      <w:r>
        <w:rPr>
          <w:rFonts w:eastAsia="Times New Roman" w:cs="Times New Roman"/>
          <w:iCs/>
          <w:color w:val="000000"/>
          <w:kern w:val="2"/>
          <w:szCs w:val="28"/>
        </w:rPr>
        <w:t>Реестровый номер 62:17-9.2).</w:t>
      </w:r>
    </w:p>
    <w:p w:rsidR="000E12B6" w:rsidRDefault="00616BCC">
      <w:pPr>
        <w:pStyle w:val="af6"/>
        <w:contextualSpacing/>
        <w:rPr>
          <w:color w:val="000000"/>
        </w:rPr>
      </w:pPr>
      <w:r>
        <w:rPr>
          <w:rFonts w:eastAsia="Times New Roman" w:cs="Times New Roman"/>
          <w:iCs/>
          <w:color w:val="000000"/>
          <w:kern w:val="2"/>
          <w:szCs w:val="28"/>
        </w:rPr>
        <w:t>На территории государственного природного заказника областного значения «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</w:rPr>
        <w:t>Белореченский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</w:rPr>
        <w:t xml:space="preserve">» запрещается: </w:t>
      </w:r>
    </w:p>
    <w:p w:rsidR="000E12B6" w:rsidRDefault="00616BCC">
      <w:pPr>
        <w:pStyle w:val="af6"/>
        <w:contextualSpacing/>
        <w:rPr>
          <w:color w:val="000000"/>
        </w:rPr>
      </w:pPr>
      <w:r>
        <w:rPr>
          <w:rFonts w:eastAsia="Times New Roman" w:cs="Times New Roman"/>
          <w:iCs/>
          <w:color w:val="000000"/>
          <w:kern w:val="2"/>
          <w:szCs w:val="28"/>
        </w:rPr>
        <w:t>- всякая охота, нагонка и натаска собак;</w:t>
      </w:r>
    </w:p>
    <w:p w:rsidR="000E12B6" w:rsidRDefault="00616BCC">
      <w:pPr>
        <w:pStyle w:val="af6"/>
        <w:contextualSpacing/>
        <w:rPr>
          <w:color w:val="000000"/>
        </w:rPr>
      </w:pPr>
      <w:r>
        <w:rPr>
          <w:rFonts w:eastAsia="Times New Roman" w:cs="Times New Roman"/>
          <w:iCs/>
          <w:color w:val="000000"/>
          <w:kern w:val="2"/>
          <w:szCs w:val="28"/>
        </w:rPr>
        <w:t>- рубка и подсочка лесных насаждений в местах глухариных токов;</w:t>
      </w:r>
    </w:p>
    <w:p w:rsidR="000E12B6" w:rsidRDefault="00616BCC">
      <w:pPr>
        <w:pStyle w:val="af6"/>
        <w:contextualSpacing/>
        <w:rPr>
          <w:color w:val="000000"/>
        </w:rPr>
      </w:pPr>
      <w:r>
        <w:rPr>
          <w:rFonts w:eastAsia="Times New Roman" w:cs="Times New Roman"/>
          <w:iCs/>
          <w:color w:val="000000"/>
          <w:kern w:val="2"/>
          <w:szCs w:val="28"/>
        </w:rPr>
        <w:t xml:space="preserve">- применение собак для пастьбы скота и нахождение их при стадах. </w:t>
      </w:r>
    </w:p>
    <w:p w:rsidR="000E12B6" w:rsidRDefault="000E12B6">
      <w:pPr>
        <w:pStyle w:val="af6"/>
        <w:contextualSpacing/>
        <w:rPr>
          <w:color w:val="000000"/>
        </w:rPr>
      </w:pPr>
    </w:p>
    <w:p w:rsidR="000E12B6" w:rsidRDefault="00616BCC">
      <w:pPr>
        <w:pStyle w:val="1"/>
        <w:ind w:firstLine="567"/>
        <w:contextualSpacing/>
        <w:rPr>
          <w:rFonts w:cs="Times New Roman"/>
        </w:rPr>
      </w:pPr>
      <w:bookmarkStart w:id="33" w:name="__RefHeading___Toc88848205"/>
      <w:bookmarkEnd w:id="33"/>
      <w:r>
        <w:rPr>
          <w:rFonts w:cs="Times New Roman"/>
        </w:rPr>
        <w:t>Статья 16. Объекты культурного наследия</w:t>
      </w:r>
    </w:p>
    <w:p w:rsidR="000E12B6" w:rsidRDefault="000E12B6">
      <w:pPr>
        <w:pStyle w:val="af6"/>
        <w:ind w:firstLine="0"/>
        <w:rPr>
          <w:szCs w:val="28"/>
          <w:shd w:val="clear" w:color="auto" w:fill="FFFF00"/>
        </w:rPr>
      </w:pPr>
    </w:p>
    <w:p w:rsidR="000E12B6" w:rsidRDefault="00616BCC">
      <w:pPr>
        <w:pStyle w:val="af6"/>
        <w:rPr>
          <w:szCs w:val="28"/>
        </w:rPr>
      </w:pPr>
      <w: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t>Сысоевского</w:t>
      </w:r>
      <w:proofErr w:type="spellEnd"/>
      <w:r>
        <w:t xml:space="preserve"> сельского поселения </w:t>
      </w:r>
      <w:proofErr w:type="spellStart"/>
      <w:r>
        <w:rPr>
          <w:rFonts w:cs="Times New Roman"/>
          <w:szCs w:val="28"/>
        </w:rPr>
        <w:t>Сараевского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находятся: 4 выявленных объекта культурного наследия (памятники архитектуры), 8 выявленных объектов археологического наследия, перечень которых указан в таблице.</w:t>
      </w:r>
    </w:p>
    <w:p w:rsidR="000E12B6" w:rsidRDefault="000E12B6">
      <w:pPr>
        <w:pStyle w:val="af6"/>
        <w:rPr>
          <w:szCs w:val="28"/>
        </w:rPr>
      </w:pPr>
    </w:p>
    <w:p w:rsidR="000E12B6" w:rsidRDefault="00616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выявленных объектов культурного наследия </w:t>
      </w:r>
    </w:p>
    <w:p w:rsidR="000E12B6" w:rsidRDefault="00616BCC">
      <w:pPr>
        <w:jc w:val="center"/>
        <w:rPr>
          <w:sz w:val="28"/>
          <w:szCs w:val="28"/>
        </w:rPr>
      </w:pPr>
      <w:r>
        <w:rPr>
          <w:sz w:val="28"/>
          <w:szCs w:val="28"/>
        </w:rPr>
        <w:t>(памятники архитектуры)</w:t>
      </w:r>
    </w:p>
    <w:tbl>
      <w:tblPr>
        <w:tblW w:w="99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2788"/>
        <w:gridCol w:w="3229"/>
        <w:gridCol w:w="3303"/>
      </w:tblGrid>
      <w:tr w:rsidR="000E12B6">
        <w:trPr>
          <w:cantSplit/>
          <w:trHeight w:val="67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0E12B6" w:rsidRDefault="00616BCC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 w:rsidR="000E12B6" w:rsidRDefault="00616BCC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 w:rsidP="002F24C1">
            <w:pPr>
              <w:pStyle w:val="aff6"/>
              <w:widowControl w:val="0"/>
              <w:snapToGrid w:val="0"/>
              <w:spacing w:after="0"/>
              <w:ind w:left="-40"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0E12B6">
        <w:trPr>
          <w:cantSplit/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pacing w:before="100" w:after="10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Монастырь - XIX в.:  </w:t>
            </w:r>
            <w:r>
              <w:rPr>
                <w:szCs w:val="24"/>
                <w:lang w:val="en-US"/>
              </w:rPr>
              <w:t>XIX</w:t>
            </w:r>
            <w:r>
              <w:rPr>
                <w:szCs w:val="24"/>
              </w:rPr>
              <w:t xml:space="preserve"> в.: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п. Заря Свободы</w:t>
            </w:r>
            <w:r w:rsidR="00573C1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п. Заря Свободы (с. </w:t>
            </w:r>
            <w:proofErr w:type="spellStart"/>
            <w:r>
              <w:rPr>
                <w:szCs w:val="24"/>
              </w:rPr>
              <w:t>Бавыкино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Приказ государственной инспекции по охране объектов культурного наследия Рязанской области № 30 от 02.03.2022</w:t>
            </w:r>
          </w:p>
        </w:tc>
      </w:tr>
      <w:tr w:rsidR="000E12B6">
        <w:trPr>
          <w:cantSplit/>
          <w:trHeight w:val="23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pacing w:before="100" w:after="10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кельи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0E12B6">
        <w:trPr>
          <w:cantSplit/>
          <w:trHeight w:val="23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pacing w:before="100" w:after="10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трапезная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0E12B6">
        <w:trPr>
          <w:cantSplit/>
          <w:trHeight w:val="23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pacing w:before="100" w:after="10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колокольня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2B6" w:rsidRDefault="00616BCC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</w:tbl>
    <w:p w:rsidR="000E12B6" w:rsidRDefault="000E12B6">
      <w:pPr>
        <w:ind w:firstLine="0"/>
        <w:contextualSpacing/>
        <w:jc w:val="center"/>
        <w:rPr>
          <w:sz w:val="28"/>
          <w:szCs w:val="28"/>
        </w:rPr>
      </w:pPr>
    </w:p>
    <w:p w:rsidR="000E12B6" w:rsidRDefault="00616BCC">
      <w:pPr>
        <w:spacing w:before="159" w:after="5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выявленных объектов археологического наследия </w:t>
      </w:r>
    </w:p>
    <w:tbl>
      <w:tblPr>
        <w:tblW w:w="10063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618"/>
        <w:gridCol w:w="2667"/>
        <w:gridCol w:w="3345"/>
        <w:gridCol w:w="3433"/>
      </w:tblGrid>
      <w:tr w:rsidR="000E12B6">
        <w:trPr>
          <w:trHeight w:val="1031"/>
          <w:tblHeader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tabs>
                <w:tab w:val="left" w:pos="1324"/>
              </w:tabs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tabs>
                <w:tab w:val="left" w:pos="1324"/>
              </w:tabs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культурного наследия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spacing w:after="0"/>
              <w:ind w:left="-110" w:right="-9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0E12B6">
        <w:trPr>
          <w:trHeight w:val="51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pacing w:before="100" w:after="100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Cs w:val="24"/>
              </w:rPr>
              <w:t>Сысоевское</w:t>
            </w:r>
            <w:proofErr w:type="spellEnd"/>
            <w:r>
              <w:rPr>
                <w:szCs w:val="24"/>
              </w:rPr>
              <w:t xml:space="preserve"> городище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 правом берегу </w:t>
            </w:r>
            <w:proofErr w:type="spellStart"/>
            <w:r>
              <w:rPr>
                <w:szCs w:val="24"/>
              </w:rPr>
              <w:t>р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ара</w:t>
            </w:r>
            <w:proofErr w:type="spellEnd"/>
            <w:r>
              <w:rPr>
                <w:szCs w:val="24"/>
              </w:rPr>
              <w:t>, 2 км к С от с.</w:t>
            </w:r>
            <w:r w:rsidR="00F80EAD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Сысои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Приказ комитета по культуре и туризму Рязанской области от 14.04.2011 №</w:t>
            </w:r>
            <w:r w:rsidR="00573C19">
              <w:rPr>
                <w:szCs w:val="24"/>
              </w:rPr>
              <w:t xml:space="preserve"> </w:t>
            </w:r>
            <w:r>
              <w:rPr>
                <w:szCs w:val="24"/>
              </w:rPr>
              <w:t>269</w:t>
            </w:r>
          </w:p>
        </w:tc>
      </w:tr>
      <w:tr w:rsidR="000E12B6">
        <w:trPr>
          <w:trHeight w:val="51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pacing w:before="100" w:after="10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Заря Свободы поселение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западная окраина п. Заря Свободы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0E12B6">
        <w:trPr>
          <w:trHeight w:val="51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pacing w:before="100" w:after="10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Паники 1 поселение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3,8 км к </w:t>
            </w: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от СВ окраины с. Паники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0E12B6">
        <w:trPr>
          <w:trHeight w:val="51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tabs>
                <w:tab w:val="left" w:pos="1324"/>
              </w:tabs>
              <w:snapToGrid w:val="0"/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righ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Паники 2 поселение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left="-108" w:righ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3,6 км к </w:t>
            </w: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от СВ окраины с. Паники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0E12B6">
        <w:trPr>
          <w:trHeight w:val="51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tabs>
                <w:tab w:val="left" w:pos="1324"/>
              </w:tabs>
              <w:snapToGrid w:val="0"/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right="-108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Сысои</w:t>
            </w:r>
            <w:proofErr w:type="spellEnd"/>
            <w:r>
              <w:rPr>
                <w:szCs w:val="24"/>
              </w:rPr>
              <w:t xml:space="preserve"> 1 поселение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left="-108" w:righ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0,9 км к </w:t>
            </w: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от северной окраины с. </w:t>
            </w:r>
            <w:proofErr w:type="spellStart"/>
            <w:r>
              <w:rPr>
                <w:szCs w:val="24"/>
              </w:rPr>
              <w:t>Сысои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0E12B6">
        <w:trPr>
          <w:trHeight w:val="51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tabs>
                <w:tab w:val="left" w:pos="1324"/>
              </w:tabs>
              <w:snapToGrid w:val="0"/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right="-108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Сысои</w:t>
            </w:r>
            <w:proofErr w:type="spellEnd"/>
            <w:r>
              <w:rPr>
                <w:szCs w:val="24"/>
              </w:rPr>
              <w:t xml:space="preserve"> 2 поселение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left="-108" w:righ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км к</w:t>
            </w:r>
            <w:proofErr w:type="gramStart"/>
            <w:r>
              <w:rPr>
                <w:szCs w:val="24"/>
              </w:rPr>
              <w:t xml:space="preserve"> В</w:t>
            </w:r>
            <w:proofErr w:type="gramEnd"/>
            <w:r>
              <w:rPr>
                <w:szCs w:val="24"/>
              </w:rPr>
              <w:t xml:space="preserve"> от северной окраины с. </w:t>
            </w:r>
            <w:proofErr w:type="spellStart"/>
            <w:r>
              <w:rPr>
                <w:szCs w:val="24"/>
              </w:rPr>
              <w:t>Сысои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0E12B6">
        <w:trPr>
          <w:trHeight w:val="51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tabs>
                <w:tab w:val="left" w:pos="1324"/>
              </w:tabs>
              <w:snapToGrid w:val="0"/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right="-108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Сысои</w:t>
            </w:r>
            <w:proofErr w:type="spellEnd"/>
            <w:r>
              <w:rPr>
                <w:szCs w:val="24"/>
              </w:rPr>
              <w:t xml:space="preserve"> 6 поселение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left="-108" w:right="-108" w:firstLine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окраины с. </w:t>
            </w:r>
            <w:proofErr w:type="spellStart"/>
            <w:r>
              <w:rPr>
                <w:szCs w:val="24"/>
              </w:rPr>
              <w:t>Сысои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0E12B6">
        <w:trPr>
          <w:trHeight w:val="51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pStyle w:val="aff6"/>
              <w:widowControl w:val="0"/>
              <w:tabs>
                <w:tab w:val="left" w:pos="1324"/>
              </w:tabs>
              <w:snapToGrid w:val="0"/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right="-108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Сысои</w:t>
            </w:r>
            <w:proofErr w:type="spellEnd"/>
            <w:r>
              <w:rPr>
                <w:szCs w:val="24"/>
              </w:rPr>
              <w:t xml:space="preserve"> 7 поселение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spacing w:before="240" w:after="60"/>
              <w:ind w:left="-108" w:right="-108" w:firstLine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окраины с. </w:t>
            </w:r>
            <w:proofErr w:type="spellStart"/>
            <w:r>
              <w:rPr>
                <w:szCs w:val="24"/>
              </w:rPr>
              <w:t>Сысои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2B6" w:rsidRDefault="00616BCC">
            <w:pPr>
              <w:widowControl w:val="0"/>
              <w:tabs>
                <w:tab w:val="left" w:pos="-108"/>
              </w:tabs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</w:tbl>
    <w:p w:rsidR="000E12B6" w:rsidRDefault="00616BCC">
      <w:pPr>
        <w:rPr>
          <w:sz w:val="28"/>
          <w:szCs w:val="28"/>
        </w:rPr>
      </w:pPr>
      <w:r>
        <w:rPr>
          <w:rStyle w:val="32"/>
          <w:color w:val="000000"/>
          <w:sz w:val="28"/>
          <w:szCs w:val="28"/>
          <w:lang w:eastAsia="ru-RU"/>
        </w:rPr>
        <w:t xml:space="preserve">Границы территорий указанных объектов не утверждены. </w:t>
      </w:r>
    </w:p>
    <w:p w:rsidR="000E12B6" w:rsidRDefault="00616BCC">
      <w:pPr>
        <w:rPr>
          <w:sz w:val="28"/>
          <w:szCs w:val="28"/>
        </w:rPr>
      </w:pPr>
      <w:r>
        <w:rPr>
          <w:rStyle w:val="32"/>
          <w:color w:val="000000"/>
          <w:sz w:val="28"/>
          <w:szCs w:val="28"/>
          <w:lang w:eastAsia="ru-RU"/>
        </w:rPr>
        <w:t>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</w:t>
      </w:r>
      <w:r w:rsidR="00BE1219">
        <w:rPr>
          <w:rStyle w:val="32"/>
          <w:color w:val="000000"/>
          <w:sz w:val="28"/>
          <w:szCs w:val="28"/>
          <w:lang w:eastAsia="ru-RU"/>
        </w:rPr>
        <w:t>о наследия, включенных в реестр</w:t>
      </w:r>
      <w:r>
        <w:rPr>
          <w:rStyle w:val="32"/>
          <w:color w:val="000000"/>
          <w:sz w:val="28"/>
          <w:szCs w:val="28"/>
          <w:lang w:eastAsia="ru-RU"/>
        </w:rPr>
        <w:t xml:space="preserve"> выявленных объектов культурного наследия. </w:t>
      </w:r>
    </w:p>
    <w:p w:rsidR="000E12B6" w:rsidRDefault="00616BCC">
      <w:pPr>
        <w:rPr>
          <w:sz w:val="28"/>
          <w:szCs w:val="28"/>
        </w:rPr>
      </w:pPr>
      <w:r>
        <w:rPr>
          <w:rStyle w:val="32"/>
          <w:color w:val="000000"/>
          <w:sz w:val="28"/>
          <w:szCs w:val="28"/>
          <w:lang w:eastAsia="ru-RU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B65F64">
        <w:rPr>
          <w:rStyle w:val="32"/>
          <w:color w:val="000000"/>
          <w:sz w:val="28"/>
          <w:szCs w:val="28"/>
          <w:lang w:eastAsia="ru-RU"/>
        </w:rPr>
        <w:t>,</w:t>
      </w:r>
      <w:r>
        <w:rPr>
          <w:rStyle w:val="32"/>
          <w:color w:val="000000"/>
          <w:sz w:val="28"/>
          <w:szCs w:val="28"/>
          <w:lang w:eastAsia="ru-RU"/>
        </w:rPr>
        <w:t xml:space="preserve"> получивших положительное заключение государственной историко-культурной экспертизы. </w:t>
      </w:r>
    </w:p>
    <w:p w:rsidR="000E12B6" w:rsidRDefault="00616BCC">
      <w:pPr>
        <w:rPr>
          <w:sz w:val="28"/>
          <w:szCs w:val="28"/>
        </w:rPr>
      </w:pPr>
      <w:r>
        <w:rPr>
          <w:rStyle w:val="32"/>
          <w:color w:val="000000"/>
          <w:sz w:val="28"/>
          <w:szCs w:val="28"/>
          <w:lang w:eastAsia="ru-RU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0E12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34" w:rsidRDefault="00602B34">
      <w:r>
        <w:separator/>
      </w:r>
    </w:p>
  </w:endnote>
  <w:endnote w:type="continuationSeparator" w:id="0">
    <w:p w:rsidR="00602B34" w:rsidRDefault="0060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B6" w:rsidRDefault="000E12B6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B6" w:rsidRDefault="000E12B6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34" w:rsidRDefault="00602B34">
      <w:r>
        <w:separator/>
      </w:r>
    </w:p>
  </w:footnote>
  <w:footnote w:type="continuationSeparator" w:id="0">
    <w:p w:rsidR="00602B34" w:rsidRDefault="00602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B6" w:rsidRDefault="00616BCC">
    <w:pPr>
      <w:pStyle w:val="afc"/>
    </w:pPr>
    <w:r>
      <w:fldChar w:fldCharType="begin"/>
    </w:r>
    <w:r>
      <w:instrText xml:space="preserve"> PAGE </w:instrText>
    </w:r>
    <w:r>
      <w:fldChar w:fldCharType="separate"/>
    </w:r>
    <w:r w:rsidR="00C35055">
      <w:rPr>
        <w:noProof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B6" w:rsidRDefault="000E12B6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6BC2"/>
    <w:multiLevelType w:val="multilevel"/>
    <w:tmpl w:val="5EA0A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430A87"/>
    <w:multiLevelType w:val="multilevel"/>
    <w:tmpl w:val="1284C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12B6"/>
    <w:rsid w:val="000E12B6"/>
    <w:rsid w:val="00245274"/>
    <w:rsid w:val="002F24C1"/>
    <w:rsid w:val="005449F4"/>
    <w:rsid w:val="00573C19"/>
    <w:rsid w:val="00575B48"/>
    <w:rsid w:val="005B475C"/>
    <w:rsid w:val="00602B34"/>
    <w:rsid w:val="00616BCC"/>
    <w:rsid w:val="0071220E"/>
    <w:rsid w:val="0080233E"/>
    <w:rsid w:val="00892B47"/>
    <w:rsid w:val="008B045D"/>
    <w:rsid w:val="00933830"/>
    <w:rsid w:val="00984FB4"/>
    <w:rsid w:val="009C3DAE"/>
    <w:rsid w:val="00A46FF3"/>
    <w:rsid w:val="00AC5328"/>
    <w:rsid w:val="00AE684C"/>
    <w:rsid w:val="00B65F64"/>
    <w:rsid w:val="00B9266B"/>
    <w:rsid w:val="00BC4577"/>
    <w:rsid w:val="00BE1219"/>
    <w:rsid w:val="00BF085C"/>
    <w:rsid w:val="00BF6CFE"/>
    <w:rsid w:val="00C35055"/>
    <w:rsid w:val="00D207A6"/>
    <w:rsid w:val="00D752CC"/>
    <w:rsid w:val="00E40098"/>
    <w:rsid w:val="00EB5EFB"/>
    <w:rsid w:val="00F413FA"/>
    <w:rsid w:val="00F8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6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9"/>
    <w:qFormat/>
    <w:pPr>
      <w:tabs>
        <w:tab w:val="right" w:leader="dot" w:pos="9921"/>
      </w:tabs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ff6">
    <w:name w:val="List Paragraph"/>
    <w:basedOn w:val="a"/>
    <w:qFormat/>
    <w:pPr>
      <w:spacing w:after="200"/>
      <w:ind w:left="720" w:firstLine="0"/>
    </w:pPr>
    <w:rPr>
      <w:sz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7">
    <w:name w:val="Balloon Text"/>
    <w:basedOn w:val="a"/>
    <w:link w:val="aff8"/>
    <w:uiPriority w:val="99"/>
    <w:semiHidden/>
    <w:unhideWhenUsed/>
    <w:rsid w:val="00933830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933830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27</Pages>
  <Words>8672</Words>
  <Characters>49431</Characters>
  <Application>Microsoft Office Word</Application>
  <DocSecurity>0</DocSecurity>
  <Lines>411</Lines>
  <Paragraphs>115</Paragraphs>
  <ScaleCrop>false</ScaleCrop>
  <Company>КонсультантПлюс Версия 4021.00.65</Company>
  <LinksUpToDate>false</LinksUpToDate>
  <CharactersWithSpaces>57988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subject/>
  <dc:creator>1</dc:creator>
  <cp:keywords> </cp:keywords>
  <dc:description/>
  <cp:lastModifiedBy>LENOVO</cp:lastModifiedBy>
  <cp:revision>639</cp:revision>
  <cp:lastPrinted>2022-09-08T09:32:00Z</cp:lastPrinted>
  <dcterms:created xsi:type="dcterms:W3CDTF">2022-08-11T09:17:00Z</dcterms:created>
  <dcterms:modified xsi:type="dcterms:W3CDTF">2023-10-09T13:58:00Z</dcterms:modified>
  <dc:language>ru-RU</dc:language>
</cp:coreProperties>
</file>