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31EB" w:rsidRDefault="00EF562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1EB" w:rsidRDefault="00EF562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731EB" w:rsidRDefault="00EF562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731EB" w:rsidRDefault="001731E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731EB" w:rsidRDefault="001731E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731EB" w:rsidRDefault="00EF562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731EB" w:rsidRDefault="001731EB">
      <w:pPr>
        <w:tabs>
          <w:tab w:val="left" w:pos="709"/>
        </w:tabs>
        <w:rPr>
          <w:b/>
          <w:sz w:val="28"/>
          <w:szCs w:val="28"/>
        </w:rPr>
      </w:pPr>
    </w:p>
    <w:p w:rsidR="001731EB" w:rsidRDefault="001731EB">
      <w:pPr>
        <w:tabs>
          <w:tab w:val="left" w:pos="709"/>
        </w:tabs>
        <w:rPr>
          <w:b/>
          <w:sz w:val="28"/>
          <w:szCs w:val="28"/>
        </w:rPr>
      </w:pPr>
    </w:p>
    <w:p w:rsidR="001731EB" w:rsidRDefault="00472A8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27 октября </w:t>
      </w:r>
      <w:r w:rsidR="00EF5625">
        <w:rPr>
          <w:sz w:val="28"/>
          <w:szCs w:val="28"/>
        </w:rPr>
        <w:t>202</w:t>
      </w:r>
      <w:r w:rsidR="00EF5625">
        <w:rPr>
          <w:sz w:val="28"/>
          <w:szCs w:val="28"/>
        </w:rPr>
        <w:t>3</w:t>
      </w:r>
      <w:r w:rsidR="00EF5625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EF5625">
        <w:rPr>
          <w:sz w:val="28"/>
          <w:szCs w:val="28"/>
        </w:rPr>
        <w:t xml:space="preserve"> № </w:t>
      </w:r>
      <w:r>
        <w:rPr>
          <w:sz w:val="28"/>
          <w:szCs w:val="28"/>
        </w:rPr>
        <w:t>534-п</w:t>
      </w:r>
      <w:r w:rsidR="00EF5625">
        <w:rPr>
          <w:sz w:val="28"/>
          <w:szCs w:val="28"/>
        </w:rPr>
        <w:t xml:space="preserve"> </w:t>
      </w:r>
    </w:p>
    <w:p w:rsidR="001731EB" w:rsidRDefault="001731E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731EB" w:rsidRDefault="001731E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731EB" w:rsidRDefault="00EF5625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1731EB" w:rsidRDefault="00EF5625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62:15:0080532:632 по адресу: Рязанская область, Рязанский р-н, с. По</w:t>
      </w:r>
      <w:r>
        <w:rPr>
          <w:rStyle w:val="12"/>
          <w:color w:val="000000"/>
          <w:spacing w:val="0"/>
          <w:sz w:val="28"/>
          <w:szCs w:val="28"/>
        </w:rPr>
        <w:t>ляны</w:t>
      </w:r>
    </w:p>
    <w:p w:rsidR="001731EB" w:rsidRDefault="001731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31EB" w:rsidRDefault="00EF5625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Бочарова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Н.Н.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62:15:0080532:632 по </w:t>
      </w:r>
      <w:r>
        <w:rPr>
          <w:rStyle w:val="12"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Рязанский р-н, с. Поляны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10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sz w:val="28"/>
          <w:szCs w:val="28"/>
        </w:rPr>
        <w:br/>
        <w:t>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1731EB" w:rsidRDefault="00EF562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62:15:0080532:632 по адресу: Рязанская область, Рязанский р-н, с. Поляны,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уменьшения минимальных отступов от границ земельного участка с северо-западной стороны с 3 м до 0 м,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юго-западной стороны с 3 м до 0 м.</w:t>
      </w:r>
    </w:p>
    <w:p w:rsidR="001731EB" w:rsidRDefault="00EF5625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</w:t>
      </w:r>
      <w:r>
        <w:rPr>
          <w:rFonts w:ascii="Times New Roman" w:hAnsi="Times New Roman" w:cs="Times New Roman"/>
          <w:sz w:val="28"/>
          <w:szCs w:val="28"/>
          <w:lang w:eastAsia="ar-SA"/>
        </w:rPr>
        <w:t>зводства обеспечить:</w:t>
      </w:r>
    </w:p>
    <w:p w:rsidR="001731EB" w:rsidRDefault="00EF562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731EB" w:rsidRDefault="00EF562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  <w:sectPr w:rsidR="001731EB">
          <w:headerReference w:type="default" r:id="rId9"/>
          <w:pgSz w:w="11906" w:h="16838"/>
          <w:pgMar w:top="1129" w:right="567" w:bottom="1148" w:left="1418" w:header="45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интернет-портале правовой </w:t>
      </w:r>
    </w:p>
    <w:p w:rsidR="001731EB" w:rsidRDefault="00EF562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(www.pravo.gov.ru).</w:t>
      </w:r>
    </w:p>
    <w:p w:rsidR="001731EB" w:rsidRDefault="00EF5625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</w:t>
      </w:r>
      <w:r>
        <w:rPr>
          <w:rFonts w:ascii="Times New Roman" w:hAnsi="Times New Roman" w:cs="Times New Roman"/>
          <w:sz w:val="28"/>
          <w:szCs w:val="28"/>
        </w:rPr>
        <w:t xml:space="preserve">ного развития Рязанской области»: </w:t>
      </w:r>
    </w:p>
    <w:p w:rsidR="001731EB" w:rsidRDefault="00EF5625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731EB" w:rsidRDefault="00EF5625">
      <w:pPr>
        <w:ind w:firstLine="737"/>
        <w:jc w:val="both"/>
      </w:pPr>
      <w:r>
        <w:rPr>
          <w:sz w:val="28"/>
          <w:szCs w:val="28"/>
        </w:rPr>
        <w:t>2) предложить главе м</w:t>
      </w:r>
      <w:r>
        <w:rPr>
          <w:sz w:val="28"/>
          <w:szCs w:val="28"/>
        </w:rPr>
        <w:t xml:space="preserve">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</w:t>
      </w:r>
      <w:r>
        <w:rPr>
          <w:sz w:val="28"/>
          <w:szCs w:val="28"/>
        </w:rPr>
        <w:t>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731EB" w:rsidRDefault="00EF562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</w:t>
      </w:r>
      <w:r>
        <w:rPr>
          <w:sz w:val="28"/>
          <w:szCs w:val="28"/>
          <w:highlight w:val="white"/>
        </w:rPr>
        <w:t>остроительного контроля и правового обеспечения.</w:t>
      </w:r>
    </w:p>
    <w:p w:rsidR="001731EB" w:rsidRDefault="001731EB">
      <w:pPr>
        <w:tabs>
          <w:tab w:val="left" w:pos="709"/>
        </w:tabs>
        <w:jc w:val="both"/>
        <w:rPr>
          <w:sz w:val="28"/>
          <w:szCs w:val="28"/>
        </w:rPr>
      </w:pPr>
    </w:p>
    <w:p w:rsidR="001731EB" w:rsidRDefault="001731EB">
      <w:pPr>
        <w:tabs>
          <w:tab w:val="left" w:pos="709"/>
        </w:tabs>
        <w:jc w:val="both"/>
        <w:rPr>
          <w:sz w:val="28"/>
          <w:szCs w:val="28"/>
        </w:rPr>
      </w:pPr>
    </w:p>
    <w:p w:rsidR="001731EB" w:rsidRDefault="001731EB">
      <w:pPr>
        <w:tabs>
          <w:tab w:val="left" w:pos="709"/>
        </w:tabs>
        <w:jc w:val="both"/>
        <w:rPr>
          <w:sz w:val="28"/>
          <w:szCs w:val="28"/>
        </w:rPr>
      </w:pPr>
    </w:p>
    <w:p w:rsidR="001731EB" w:rsidRDefault="00EF562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sectPr w:rsidR="001731EB">
      <w:headerReference w:type="default" r:id="rId10"/>
      <w:pgSz w:w="11906" w:h="16838"/>
      <w:pgMar w:top="1185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25" w:rsidRDefault="00EF5625">
      <w:r>
        <w:separator/>
      </w:r>
    </w:p>
  </w:endnote>
  <w:endnote w:type="continuationSeparator" w:id="0">
    <w:p w:rsidR="00EF5625" w:rsidRDefault="00EF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25" w:rsidRDefault="00EF5625">
      <w:r>
        <w:separator/>
      </w:r>
    </w:p>
  </w:footnote>
  <w:footnote w:type="continuationSeparator" w:id="0">
    <w:p w:rsidR="00EF5625" w:rsidRDefault="00EF5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EB" w:rsidRDefault="001731E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EB" w:rsidRDefault="001731EB">
    <w:pPr>
      <w:pStyle w:val="af1"/>
      <w:jc w:val="center"/>
    </w:pPr>
  </w:p>
  <w:p w:rsidR="001731EB" w:rsidRDefault="00EF5625">
    <w:pPr>
      <w:pStyle w:val="af1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4AD9"/>
    <w:multiLevelType w:val="multilevel"/>
    <w:tmpl w:val="6E040AA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07509D"/>
    <w:multiLevelType w:val="multilevel"/>
    <w:tmpl w:val="AFE447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1EB"/>
    <w:rsid w:val="001731EB"/>
    <w:rsid w:val="00472A8E"/>
    <w:rsid w:val="00E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200</cp:revision>
  <cp:lastPrinted>2023-10-25T11:34:00Z</cp:lastPrinted>
  <dcterms:created xsi:type="dcterms:W3CDTF">2023-10-27T15:01:00Z</dcterms:created>
  <dcterms:modified xsi:type="dcterms:W3CDTF">2023-10-27T15:08:00Z</dcterms:modified>
  <dc:language>ru-RU</dc:language>
</cp:coreProperties>
</file>