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506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-д</w:t>
      </w:r>
      <w:r>
        <w:rPr>
          <w:rFonts w:cs="Times New Roman"/>
          <w:b/>
          <w:bCs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62:13:1160501:2286 по адресу: обл. Рязанская, р-н Рыбновский, с. Костино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</w:t>
        <w:br/>
        <w:t>образования — Рыбновский муниципальный района Рязанской области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Пощупово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Зеленые дворики, д. 27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color w:val="000000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6</w:t>
      </w:r>
      <w:r>
        <w:rPr>
          <w:rFonts w:cs="Times New Roman"/>
          <w:color w:val="000000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Рыбновский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Пощупово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Зеленые дворики, д. 27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236</w:t>
      </w:r>
      <w:r>
        <w:rPr>
          <w:rFonts w:cs="Times New Roman"/>
          <w:color w:val="000000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36</w:t>
        <w:br/>
      </w:r>
      <w:r>
        <w:rPr>
          <w:rFonts w:cs="Times New Roman"/>
          <w:color w:val="000000"/>
          <w:sz w:val="26"/>
          <w:szCs w:val="26"/>
          <w:highlight w:val="white"/>
        </w:rPr>
        <w:t>и электронной почте в режиме р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еального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28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  <w:highlight w:val="white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color w:val="000000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824</TotalTime>
  <Application>LibreOffice/6.4.4.2$Linux_X86_64 LibreOffice_project/40$Build-2</Application>
  <Pages>2</Pages>
  <Words>620</Words>
  <Characters>4610</Characters>
  <CharactersWithSpaces>5249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2023-05-19T15:37:45Z</cp:lastPrinted>
  <dcterms:modified xsi:type="dcterms:W3CDTF">2023-11-23T16:21:53Z</dcterms:modified>
  <cp:revision>101</cp:revision>
  <dc:subject/>
  <dc:title/>
</cp:coreProperties>
</file>