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 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555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-п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О проведении общественных обсуждений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по 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 на условно разрешенный вид использования земельного участка с кадастровым номером 62:08:0045901:336 по адресу: Рязанская область, муниципальный район Михайловский, сельское поселение Стрелецко-Высельское, вблизи села Стрелецкие Выселки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Семенцов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ой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Ольг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Сергеевн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, действующ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ей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на основании доверенности от Буянкина Максима Александровича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Теслова Анастасия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 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Михайловский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Стрелецкие Выселки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135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г.</w:t>
      </w:r>
      <w:r>
        <w:rPr>
          <w:b w:val="false"/>
          <w:bCs w:val="false"/>
          <w:strike w:val="false"/>
          <w:dstrike w:val="false"/>
          <w:sz w:val="26"/>
          <w:szCs w:val="26"/>
        </w:rPr>
        <w:t>, с 8.00 час. по 17.00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Михайловский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Стрелецкие Выселки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135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 необходимо предварительно позвонить по контактному номеру (4912) 97-19-90, доб. 236.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Консультирование посетителей экспозиции проекта будет осуществляться исключительно посредством телефонной связи (4912) 97-19-90 доб. 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236 </w:t>
      </w:r>
      <w:r>
        <w:rPr>
          <w:rFonts w:cs="Times New Roman"/>
          <w:sz w:val="26"/>
          <w:szCs w:val="26"/>
          <w:highlight w:val="white"/>
        </w:rPr>
        <w:t xml:space="preserve">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zh-CN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sz w:val="26"/>
          <w:szCs w:val="26"/>
        </w:rPr>
        <w:t>в режиме рабочего времени.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val="ru-RU" w:eastAsia="ar-SA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>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>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, с 8.00 час. по 17.00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1222</TotalTime>
  <Application>LibreOffice/6.4.4.2$Linux_X86_64 LibreOffice_project/40$Build-2</Application>
  <Pages>2</Pages>
  <Words>610</Words>
  <Characters>4607</Characters>
  <CharactersWithSpaces>5234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2023-07-19T17:13:41Z</cp:lastPrinted>
  <dcterms:modified xsi:type="dcterms:W3CDTF">2023-12-18T15:46:37Z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