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779A" w:rsidRDefault="002C4AD9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9A" w:rsidRDefault="002C4AD9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8779A" w:rsidRDefault="002C4AD9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8779A" w:rsidRDefault="0098779A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8779A" w:rsidRDefault="0098779A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8779A" w:rsidRDefault="002C4AD9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8779A" w:rsidRDefault="0098779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8779A" w:rsidRDefault="0098779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8779A" w:rsidRDefault="00214AEC">
      <w:pPr>
        <w:tabs>
          <w:tab w:val="left" w:pos="709"/>
        </w:tabs>
      </w:pPr>
      <w:r>
        <w:rPr>
          <w:sz w:val="28"/>
          <w:szCs w:val="28"/>
        </w:rPr>
        <w:t xml:space="preserve">06 декабря </w:t>
      </w:r>
      <w:r w:rsidR="002C4AD9">
        <w:rPr>
          <w:sz w:val="28"/>
          <w:szCs w:val="28"/>
        </w:rPr>
        <w:t>202</w:t>
      </w:r>
      <w:r w:rsidR="002C4AD9">
        <w:rPr>
          <w:sz w:val="28"/>
          <w:szCs w:val="28"/>
        </w:rPr>
        <w:t>3</w:t>
      </w:r>
      <w:r w:rsidR="002C4AD9">
        <w:rPr>
          <w:sz w:val="28"/>
          <w:szCs w:val="28"/>
        </w:rPr>
        <w:t xml:space="preserve"> г.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2C4AD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582-п</w:t>
      </w:r>
    </w:p>
    <w:p w:rsidR="0098779A" w:rsidRDefault="0098779A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8779A" w:rsidRDefault="0098779A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8779A" w:rsidRDefault="002C4AD9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62:15:0040311:41 по адресу: Местоположение установлено относительно ориентира, расположенного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за пределами участка.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Ориентир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населенный пункт. Уча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сток находится примерно в 400 м, по направлению на север от ориентира. Почтовый адрес ориентира: Рязанская область, р-н Рязанский, ст.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Денежниково</w:t>
      </w:r>
      <w:proofErr w:type="spellEnd"/>
    </w:p>
    <w:bookmarkEnd w:id="0"/>
    <w:p w:rsidR="0098779A" w:rsidRDefault="0098779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779A" w:rsidRDefault="002C4AD9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обращения </w:t>
      </w:r>
      <w:r>
        <w:rPr>
          <w:rStyle w:val="12"/>
          <w:iCs/>
          <w:color w:val="000000"/>
          <w:spacing w:val="0"/>
          <w:sz w:val="28"/>
          <w:szCs w:val="28"/>
          <w:shd w:val="clear" w:color="auto" w:fill="FFFFFF"/>
        </w:rPr>
        <w:t>п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редседателя Приходского Совета Местной религиозной организации православного </w:t>
      </w:r>
      <w:r>
        <w:rPr>
          <w:rStyle w:val="12"/>
          <w:iCs/>
          <w:color w:val="000000"/>
          <w:spacing w:val="0"/>
          <w:sz w:val="28"/>
          <w:szCs w:val="28"/>
        </w:rPr>
        <w:t>Прихода Успенского храма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п. Окский Рязанского района Рязанской области Рязанской Епархии Русской Православной Церкви (Московский Патриархат) Ковалева В.И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с кадастровым </w:t>
      </w:r>
      <w:r>
        <w:rPr>
          <w:rFonts w:ascii="Times New Roman" w:hAnsi="Times New Roman" w:cs="Times New Roman"/>
          <w:color w:val="000000"/>
          <w:sz w:val="28"/>
          <w:szCs w:val="28"/>
        </w:rPr>
        <w:t>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62:15:0040311:41 по адресу: Местоположение установлено относительно ориентира, расположенного за пределами участка.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Ориентир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населенный пункт. Участок находится примерно в 400 м, по направлению на север от ориентира. Почтовый адрес ориентира: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Рязан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ская область, р-н Рязанский, ст.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Денежниково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заключения о результатах общественных обсуждений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br/>
        <w:t>от 06.08.2008 № 153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98779A" w:rsidRDefault="002C4AD9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62:15:0040311:41 по адресу: Местоположение установлено относительно ориентира, расположенного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за пределами участка.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Ориентир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населенный пункт. Участок находится примерно </w:t>
      </w:r>
      <w:r>
        <w:rPr>
          <w:rStyle w:val="12"/>
          <w:iCs/>
          <w:color w:val="000000"/>
          <w:spacing w:val="0"/>
          <w:sz w:val="28"/>
          <w:szCs w:val="28"/>
        </w:rPr>
        <w:lastRenderedPageBreak/>
        <w:t xml:space="preserve">в 400 м, по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направлению на север от ориентира. Почтовый адрес ориентира: Рязанская область, р-н Рязанский, ст.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Денежниково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Религиозное использование (3.7)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79A" w:rsidRDefault="002C4AD9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98779A" w:rsidRDefault="002C4AD9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государственную регистрацию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 правовом департаменте аппарата Губернатора и Правительства Рязанской области;</w:t>
      </w:r>
    </w:p>
    <w:p w:rsidR="0098779A" w:rsidRDefault="002C4AD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опубликование настоящего постановления в сетевом издании «Рязанские ведомости» (www.rv-ryazan.ru) и на официальном интернет-портале правовой информации </w:t>
      </w:r>
      <w:r>
        <w:rPr>
          <w:sz w:val="28"/>
          <w:szCs w:val="28"/>
        </w:rPr>
        <w:t>(www.pravo.gov.ru).</w:t>
      </w:r>
      <w:proofErr w:type="gramEnd"/>
    </w:p>
    <w:p w:rsidR="0098779A" w:rsidRDefault="002C4AD9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98779A" w:rsidRDefault="002C4AD9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</w:t>
      </w:r>
      <w:r>
        <w:rPr>
          <w:rFonts w:ascii="Times New Roman" w:hAnsi="Times New Roman" w:cs="Times New Roman"/>
          <w:sz w:val="28"/>
          <w:szCs w:val="28"/>
        </w:rPr>
        <w:t>авления архитектуры и градостроительства Рязанской области в сети «Интернет»;</w:t>
      </w:r>
    </w:p>
    <w:p w:rsidR="0098779A" w:rsidRDefault="002C4AD9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имости»;</w:t>
      </w:r>
      <w:proofErr w:type="gramEnd"/>
    </w:p>
    <w:p w:rsidR="0098779A" w:rsidRDefault="002C4AD9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главе муниципального образования — Рязанский муниципальный район Рязанской области, главе муниципального образования — Окское сельское поселение Рязанского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</w:t>
      </w:r>
      <w:r>
        <w:rPr>
          <w:rFonts w:ascii="Times New Roman" w:hAnsi="Times New Roman" w:cs="Times New Roman"/>
          <w:sz w:val="28"/>
          <w:szCs w:val="28"/>
          <w:highlight w:val="white"/>
        </w:rPr>
        <w:t>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98779A" w:rsidRDefault="002C4AD9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</w:t>
      </w:r>
      <w:r>
        <w:rPr>
          <w:rFonts w:ascii="Times New Roman" w:hAnsi="Times New Roman" w:cs="Times New Roman"/>
          <w:sz w:val="28"/>
          <w:szCs w:val="28"/>
          <w:highlight w:val="white"/>
        </w:rPr>
        <w:t>ния возложить на отдел градостроительного контроля и правового обеспечения.</w:t>
      </w:r>
    </w:p>
    <w:p w:rsidR="0098779A" w:rsidRDefault="0098779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8779A" w:rsidRDefault="009877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79A" w:rsidRDefault="0098779A">
      <w:pPr>
        <w:tabs>
          <w:tab w:val="left" w:pos="709"/>
        </w:tabs>
        <w:jc w:val="both"/>
        <w:rPr>
          <w:sz w:val="28"/>
          <w:szCs w:val="28"/>
        </w:rPr>
      </w:pPr>
    </w:p>
    <w:p w:rsidR="0098779A" w:rsidRDefault="002C4AD9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98779A" w:rsidRDefault="0098779A">
      <w:pPr>
        <w:tabs>
          <w:tab w:val="left" w:pos="709"/>
        </w:tabs>
        <w:rPr>
          <w:sz w:val="28"/>
          <w:szCs w:val="28"/>
        </w:rPr>
      </w:pPr>
    </w:p>
    <w:p w:rsidR="0098779A" w:rsidRDefault="002C4AD9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3.95pt;height:16.7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779A" w:rsidRDefault="0098779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3.9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98779A" w:rsidRDefault="002C4AD9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8779A" w:rsidRDefault="0098779A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25pt;height:17.0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98779A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D9" w:rsidRDefault="002C4AD9">
      <w:r>
        <w:separator/>
      </w:r>
    </w:p>
  </w:endnote>
  <w:endnote w:type="continuationSeparator" w:id="0">
    <w:p w:rsidR="002C4AD9" w:rsidRDefault="002C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D9" w:rsidRDefault="002C4AD9">
      <w:r>
        <w:separator/>
      </w:r>
    </w:p>
  </w:footnote>
  <w:footnote w:type="continuationSeparator" w:id="0">
    <w:p w:rsidR="002C4AD9" w:rsidRDefault="002C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9A" w:rsidRDefault="0098779A">
    <w:pPr>
      <w:pStyle w:val="af1"/>
      <w:jc w:val="center"/>
    </w:pPr>
  </w:p>
  <w:p w:rsidR="0098779A" w:rsidRDefault="002C4AD9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9A" w:rsidRDefault="0098779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301"/>
    <w:multiLevelType w:val="multilevel"/>
    <w:tmpl w:val="6CF458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4A3C61"/>
    <w:multiLevelType w:val="multilevel"/>
    <w:tmpl w:val="25A203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79A"/>
    <w:rsid w:val="00214AEC"/>
    <w:rsid w:val="002C4AD9"/>
    <w:rsid w:val="009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2023-12-06T14:03:00Z</dcterms:created>
  <dcterms:modified xsi:type="dcterms:W3CDTF">2023-12-06T14:04:00Z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2023-11-24T11:46:09Z</cp:lastPrinted>
  <dcterms:modified xsi:type="dcterms:W3CDTF">2023-11-24T11:48:07Z</dcterms:modified>
  <cp:revision>218</cp:revision>
  <dc:subject/>
  <dc:title>ГЛАВА АДМИНИСТРАЦИИ РЯЗАНСКОЙ ОБЛАСТИ</dc:title>
</cp:coreProperties>
</file>