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74" w:rsidRDefault="0017442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074" w:rsidRDefault="0017442B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17074" w:rsidRDefault="0017442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17074" w:rsidRDefault="0011707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117074" w:rsidRDefault="0011707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117074" w:rsidRDefault="0017442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17074" w:rsidRDefault="00117074">
      <w:pPr>
        <w:tabs>
          <w:tab w:val="left" w:pos="709"/>
        </w:tabs>
        <w:jc w:val="center"/>
        <w:rPr>
          <w:sz w:val="28"/>
        </w:rPr>
      </w:pPr>
    </w:p>
    <w:p w:rsidR="00117074" w:rsidRDefault="00117074">
      <w:pPr>
        <w:tabs>
          <w:tab w:val="left" w:pos="709"/>
        </w:tabs>
        <w:jc w:val="center"/>
        <w:rPr>
          <w:sz w:val="28"/>
        </w:rPr>
      </w:pPr>
    </w:p>
    <w:p w:rsidR="00117074" w:rsidRDefault="001946C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17 января </w:t>
      </w:r>
      <w:r w:rsidR="00863246" w:rsidRPr="00863246">
        <w:rPr>
          <w:sz w:val="28"/>
        </w:rPr>
        <w:t xml:space="preserve">2024 г.                                                </w:t>
      </w:r>
      <w:r>
        <w:rPr>
          <w:sz w:val="28"/>
        </w:rPr>
        <w:t xml:space="preserve">                                           </w:t>
      </w:r>
      <w:bookmarkStart w:id="0" w:name="_GoBack"/>
      <w:bookmarkEnd w:id="0"/>
      <w:r w:rsidR="00863246" w:rsidRPr="00863246">
        <w:rPr>
          <w:sz w:val="28"/>
        </w:rPr>
        <w:t xml:space="preserve">       №</w:t>
      </w:r>
      <w:r>
        <w:rPr>
          <w:sz w:val="28"/>
        </w:rPr>
        <w:t xml:space="preserve"> 17-п</w:t>
      </w:r>
    </w:p>
    <w:p w:rsidR="00117074" w:rsidRDefault="00117074">
      <w:pPr>
        <w:tabs>
          <w:tab w:val="left" w:pos="709"/>
        </w:tabs>
        <w:jc w:val="both"/>
        <w:rPr>
          <w:sz w:val="28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9428"/>
      </w:tblGrid>
      <w:tr w:rsidR="00566FD2" w:rsidRPr="00566FD2" w:rsidTr="00F85360">
        <w:tc>
          <w:tcPr>
            <w:tcW w:w="9428" w:type="dxa"/>
          </w:tcPr>
          <w:p w:rsidR="00566FD2" w:rsidRPr="00566FD2" w:rsidRDefault="00566FD2" w:rsidP="00566FD2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66FD2"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О внесении изменений в постановление главного управления архитектуры и градостроительства Рязанской области от 21.10.2015 № 4-п </w:t>
            </w:r>
          </w:p>
          <w:p w:rsidR="00566FD2" w:rsidRPr="00566FD2" w:rsidRDefault="00566FD2" w:rsidP="00566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566FD2"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  <w:t>«Об утверждении ведомственной целевой программы «Развитие градостроительной деятельности на территории Рязанской области»</w:t>
            </w:r>
          </w:p>
          <w:p w:rsidR="00566FD2" w:rsidRPr="00566FD2" w:rsidRDefault="00566FD2" w:rsidP="00566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566FD2"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  <w:t>(в редакции постановлений главного управления архитектуры и градостроительства Рязанской области от 16.05.2016 № 4-п, от 14.03.2017</w:t>
            </w:r>
          </w:p>
          <w:p w:rsidR="00566FD2" w:rsidRPr="00566FD2" w:rsidRDefault="00566FD2" w:rsidP="00566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566FD2"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  <w:t>№ 2-п, от 10.04.2017 № 5-п, от 18.08.2017 № 7-п, от 10.01.2018 № 1-</w:t>
            </w:r>
            <w:proofErr w:type="gramStart"/>
            <w:r w:rsidRPr="00566FD2"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  <w:t xml:space="preserve">п,   </w:t>
            </w:r>
            <w:proofErr w:type="gramEnd"/>
            <w:r w:rsidRPr="00566FD2"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  <w:t xml:space="preserve">            от 20.03.2018 № 3-п, от 24.09.2018 № 6-п, от 11.10.2018 № 8-п, </w:t>
            </w:r>
          </w:p>
          <w:p w:rsidR="00566FD2" w:rsidRPr="00566FD2" w:rsidRDefault="00566FD2" w:rsidP="00566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566FD2"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  <w:t xml:space="preserve">от 26.12.2018 № 13-п, от 05.09.2019 № 144-п, от 05.11.2019 № 321-п, </w:t>
            </w:r>
          </w:p>
          <w:p w:rsidR="00566FD2" w:rsidRPr="00566FD2" w:rsidRDefault="00566FD2" w:rsidP="00566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566FD2"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  <w:t>от 20.10.2020 № 701-п, от 28.12.2020 № 890-п, от 08.02.2021 № 25-п,</w:t>
            </w:r>
          </w:p>
          <w:p w:rsidR="00566FD2" w:rsidRPr="00566FD2" w:rsidRDefault="00566FD2" w:rsidP="00566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566FD2"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  <w:t>от 04.08.2021№ 333-п, от 03.12.2021 № 564-п, от 23.12.2021 № 629-п, от 19.10.2022 № 587-п, от 24.05.2023 № 210-п) и признании утратившими силу некоторых правовых актов главного управления архитектуры и градостроительства Рязанской области</w:t>
            </w:r>
          </w:p>
          <w:p w:rsidR="00566FD2" w:rsidRPr="00566FD2" w:rsidRDefault="00566FD2" w:rsidP="00566FD2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566FD2" w:rsidRPr="00566FD2" w:rsidRDefault="00566FD2" w:rsidP="00566FD2">
      <w:pPr>
        <w:rPr>
          <w:rFonts w:eastAsia="Times New Roman" w:cs="Times New Roman"/>
          <w:b/>
          <w:bCs/>
          <w:color w:val="auto"/>
          <w:sz w:val="24"/>
          <w:szCs w:val="28"/>
          <w:lang w:eastAsia="en-US" w:bidi="ar-SA"/>
        </w:rPr>
      </w:pPr>
    </w:p>
    <w:p w:rsidR="00566FD2" w:rsidRPr="00566FD2" w:rsidRDefault="00566FD2" w:rsidP="00566FD2">
      <w:pPr>
        <w:ind w:firstLine="709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Главное управление архитектуры и градостроительства Рязанской области ПОСТАНОВЛЯЕТ:</w:t>
      </w:r>
    </w:p>
    <w:p w:rsidR="00566FD2" w:rsidRPr="00566FD2" w:rsidRDefault="00566FD2" w:rsidP="00566FD2">
      <w:pPr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1. Внести в приложение к постановлению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главного управления 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архитектуры и градостроительства Рязанской области от</w:t>
      </w:r>
      <w:r w:rsidRPr="00566FD2">
        <w:rPr>
          <w:rFonts w:eastAsia="Times New Roman" w:cs="Times New Roman"/>
          <w:color w:val="FF0000"/>
          <w:sz w:val="28"/>
          <w:szCs w:val="22"/>
          <w:lang w:eastAsia="en-US" w:bidi="ar-SA"/>
        </w:rPr>
        <w:t xml:space="preserve"> 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Развитие градостроительной деятельности на территории Рязанской 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следующие изменения:</w:t>
      </w:r>
    </w:p>
    <w:p w:rsidR="00566FD2" w:rsidRPr="00566FD2" w:rsidRDefault="00566FD2" w:rsidP="00566F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eastAsia="Times New Roman" w:cs="Times New Roman"/>
          <w:color w:val="auto"/>
          <w:sz w:val="28"/>
          <w:szCs w:val="28"/>
          <w:lang w:eastAsia="ru-RU" w:bidi="en-US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en-US"/>
        </w:rPr>
        <w:t xml:space="preserve">1)  в паспорте ведомственной целевой программы </w:t>
      </w:r>
      <w:r w:rsidRPr="00566FD2">
        <w:rPr>
          <w:rFonts w:eastAsia="Times New Roman" w:cs="Times New Roman"/>
          <w:color w:val="auto"/>
          <w:sz w:val="28"/>
          <w:szCs w:val="28"/>
          <w:lang w:eastAsia="ru-RU" w:bidi="en-US"/>
        </w:rPr>
        <w:t>строки «</w:t>
      </w:r>
      <w:hyperlink r:id="rId9" w:history="1">
        <w:r w:rsidRPr="00566FD2">
          <w:rPr>
            <w:rFonts w:eastAsia="Times New Roman" w:cs="Times New Roman"/>
            <w:color w:val="auto"/>
            <w:sz w:val="28"/>
            <w:szCs w:val="28"/>
            <w:lang w:eastAsia="ru-RU" w:bidi="en-US"/>
          </w:rPr>
          <w:t>Объемы финансирования</w:t>
        </w:r>
      </w:hyperlink>
      <w:r w:rsidRPr="00566FD2">
        <w:rPr>
          <w:rFonts w:eastAsia="Times New Roman" w:cs="Times New Roman"/>
          <w:color w:val="auto"/>
          <w:sz w:val="28"/>
          <w:szCs w:val="28"/>
          <w:lang w:eastAsia="ru-RU" w:bidi="en-US"/>
        </w:rPr>
        <w:t xml:space="preserve"> Программы: всего, в том числе по годам реализации» изложить в следующей редакции:</w:t>
      </w:r>
    </w:p>
    <w:tbl>
      <w:tblPr>
        <w:tblW w:w="992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566FD2" w:rsidRPr="00566FD2" w:rsidTr="00F853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D2" w:rsidRPr="00566FD2" w:rsidRDefault="00566FD2" w:rsidP="00566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0"/>
                <w:szCs w:val="22"/>
                <w:lang w:eastAsia="ru-RU" w:bidi="en-US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en-US"/>
              </w:rPr>
              <w:t>«Объемы финансирования Программы: всего, в том числе по годам реализации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D2" w:rsidRPr="00566FD2" w:rsidRDefault="00566FD2" w:rsidP="00566FD2">
            <w:pP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Общий объем расходов областного бюджета на реализацию программы составляет 1419954,09769 тыс. руб., в том числе: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2016 год - 33466,54693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2017 год - 33426,04576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2018 год - 34106,90701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Times New Roman" w:hAnsi="Arial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2019 год - 93502,67156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2020 год - 114978,11204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2021 год - 114391,23625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lastRenderedPageBreak/>
              <w:t>2022 год – 97923,24344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2023 год – 105209,89186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2024 год – 109868,73854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2025 год – 113846,78405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2026 год – 113846,78405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2027 год – 113846,78405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2028 год – 113846,78405 тыс. руб.;</w:t>
            </w:r>
          </w:p>
          <w:p w:rsidR="00566FD2" w:rsidRPr="00566FD2" w:rsidRDefault="00566FD2" w:rsidP="00566F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2029 год – 113846,78405 тыс. руб.;</w:t>
            </w:r>
          </w:p>
          <w:p w:rsidR="00566FD2" w:rsidRPr="00566FD2" w:rsidRDefault="00566FD2" w:rsidP="00566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566FD2">
              <w:rPr>
                <w:rFonts w:eastAsia="Times New Roman" w:cs="Times New Roman"/>
                <w:color w:val="auto"/>
                <w:sz w:val="24"/>
                <w:szCs w:val="24"/>
                <w:lang w:eastAsia="en-US" w:bidi="en-US"/>
              </w:rPr>
              <w:t>2030 год – 113846,78405 тыс. руб.»</w:t>
            </w:r>
          </w:p>
        </w:tc>
      </w:tr>
    </w:tbl>
    <w:p w:rsidR="00566FD2" w:rsidRPr="00566FD2" w:rsidRDefault="00566FD2" w:rsidP="00566F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23" w:firstLine="709"/>
        <w:contextualSpacing/>
        <w:jc w:val="both"/>
        <w:rPr>
          <w:rFonts w:eastAsia="Times New Roman" w:cs="Times New Roman"/>
          <w:color w:val="auto"/>
          <w:sz w:val="28"/>
          <w:szCs w:val="28"/>
          <w:lang w:eastAsia="ru-RU" w:bidi="en-US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ru-RU" w:bidi="en-US"/>
        </w:rPr>
        <w:lastRenderedPageBreak/>
        <w:t>2) раздел 4</w:t>
      </w:r>
      <w:r w:rsidRPr="00566FD2">
        <w:rPr>
          <w:rFonts w:eastAsia="Times New Roman" w:cs="Times New Roman"/>
          <w:b/>
          <w:color w:val="auto"/>
          <w:sz w:val="28"/>
          <w:szCs w:val="28"/>
          <w:lang w:eastAsia="ru-RU" w:bidi="en-US"/>
        </w:rPr>
        <w:t xml:space="preserve"> </w:t>
      </w:r>
      <w:r w:rsidRPr="00566FD2">
        <w:rPr>
          <w:rFonts w:eastAsia="Times New Roman" w:cs="Times New Roman"/>
          <w:color w:val="auto"/>
          <w:sz w:val="28"/>
          <w:szCs w:val="28"/>
          <w:lang w:eastAsia="ru-RU" w:bidi="en-US"/>
        </w:rPr>
        <w:t xml:space="preserve">«Перечень программных мероприятий» изложить в новой редакции согласно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ru-RU" w:bidi="en-US"/>
        </w:rPr>
        <w:t>приложению</w:t>
      </w:r>
      <w:proofErr w:type="gramEnd"/>
      <w:r w:rsidRPr="00566FD2">
        <w:rPr>
          <w:rFonts w:eastAsia="Times New Roman" w:cs="Times New Roman"/>
          <w:color w:val="auto"/>
          <w:sz w:val="28"/>
          <w:szCs w:val="28"/>
          <w:lang w:eastAsia="ru-RU" w:bidi="en-US"/>
        </w:rPr>
        <w:t xml:space="preserve"> к настоящему постановлению.</w:t>
      </w:r>
    </w:p>
    <w:p w:rsidR="00566FD2" w:rsidRPr="00566FD2" w:rsidRDefault="00566FD2" w:rsidP="00566FD2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right="-23" w:firstLine="709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Досрочно прекратить реализацию 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ведомственной целевой программы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Развитие градостроительной деятельности на территории Рязанской 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» </w:t>
      </w:r>
      <w:r w:rsidRPr="00566FD2">
        <w:rPr>
          <w:rFonts w:eastAsia="Times New Roman" w:cs="Times New Roman"/>
          <w:color w:val="auto"/>
          <w:sz w:val="28"/>
          <w:szCs w:val="28"/>
          <w:lang w:eastAsia="ru-RU" w:bidi="ar-SA"/>
        </w:rPr>
        <w:t>и п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ризнать утратившими силу с 1 января 2024 года следующие правовые акты главного управления Рязанской области: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Развитие градостроительной деятельности на территории Рязанской 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16.05.2016 № 4-п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14.03.2017 № 2-п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10.04.2017 № 5-п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18.08.2017 № 7-п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10.01.2018 № 1-п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20.03.2018 № 3-п «О внесении изменений в постановление 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lastRenderedPageBreak/>
        <w:t xml:space="preserve">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24.09.2018 № 6-п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11.10.2018 № 8-п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26.12.2018 № 14-п «О внесении изменений в постановление главного управления от 11.10.2018 № 8-п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26.12.2018 № 13-п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05.09.2019 № 144-п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05.11.2019 № 321-п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20.10.2020 № 701-п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28.12.2020 № 890-п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lastRenderedPageBreak/>
        <w:t xml:space="preserve">постановление главного управления архитектуры и градостроительства Рязанской области от 08.02.2021 № 25-п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04.08.2021 № 333-п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03.02.2021 № 564-п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23.12.2021 № 629-п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19.10.2022 № 587-п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годы»;</w:t>
      </w:r>
    </w:p>
    <w:p w:rsidR="00566FD2" w:rsidRPr="00566FD2" w:rsidRDefault="00566FD2" w:rsidP="00566FD2">
      <w:pPr>
        <w:ind w:right="-23" w:firstLine="709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постановление главного управления архитектуры и градостроительства Рязанской области от 24.05.2023 № 210-п «О внесении изменений в постановление главного управления от 21.10.2015 № 4-п 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«Об утверждении ведомственной целевой программы «</w:t>
      </w:r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Развитие градостроительной деятельности на территории Рязанской </w:t>
      </w:r>
      <w:proofErr w:type="gramStart"/>
      <w:r w:rsidRPr="00566FD2">
        <w:rPr>
          <w:rFonts w:eastAsia="Times New Roman" w:cs="Times New Roman"/>
          <w:color w:val="auto"/>
          <w:sz w:val="28"/>
          <w:szCs w:val="28"/>
          <w:lang w:eastAsia="en-US" w:bidi="ar-SA"/>
        </w:rPr>
        <w:t>области</w:t>
      </w: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»  на</w:t>
      </w:r>
      <w:proofErr w:type="gramEnd"/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 xml:space="preserve"> 2016 – 2020 годы».</w:t>
      </w:r>
    </w:p>
    <w:p w:rsidR="00566FD2" w:rsidRPr="00566FD2" w:rsidRDefault="00566FD2" w:rsidP="00566FD2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right="-23" w:firstLine="851"/>
        <w:jc w:val="both"/>
        <w:rPr>
          <w:rFonts w:eastAsia="Times New Roman" w:cs="Times New Roman"/>
          <w:color w:val="auto"/>
          <w:sz w:val="28"/>
          <w:szCs w:val="22"/>
          <w:lang w:eastAsia="en-US" w:bidi="ar-SA"/>
        </w:rPr>
      </w:pP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Настоящее постановление вступает в силу на следующий день после его официального опубликования.</w:t>
      </w:r>
    </w:p>
    <w:p w:rsidR="00566FD2" w:rsidRPr="00566FD2" w:rsidRDefault="00566FD2" w:rsidP="00566FD2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right="-23" w:firstLine="851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566FD2">
        <w:rPr>
          <w:rFonts w:eastAsia="Times New Roman" w:cs="Times New Roman"/>
          <w:color w:val="auto"/>
          <w:sz w:val="28"/>
          <w:szCs w:val="22"/>
          <w:lang w:eastAsia="en-US" w:bidi="ar-SA"/>
        </w:rPr>
        <w:t>Положение пункта 1 настоящего постановления распространяет свое действие на правоотношения, возникшие с 28 декабря 2023 года.</w:t>
      </w:r>
    </w:p>
    <w:p w:rsidR="00117074" w:rsidRDefault="00117074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117074" w:rsidRDefault="00117074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17074" w:rsidRDefault="0017442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шкин</w:t>
      </w:r>
    </w:p>
    <w:sectPr w:rsidR="00117074" w:rsidSect="00874CF6">
      <w:headerReference w:type="default" r:id="rId10"/>
      <w:pgSz w:w="11906" w:h="16838"/>
      <w:pgMar w:top="794" w:right="567" w:bottom="794" w:left="147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26" w:rsidRDefault="00201826">
      <w:pPr>
        <w:pStyle w:val="30"/>
      </w:pPr>
      <w:r>
        <w:separator/>
      </w:r>
    </w:p>
  </w:endnote>
  <w:endnote w:type="continuationSeparator" w:id="0">
    <w:p w:rsidR="00201826" w:rsidRDefault="0020182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26" w:rsidRDefault="00201826">
      <w:pPr>
        <w:pStyle w:val="30"/>
      </w:pPr>
      <w:r>
        <w:separator/>
      </w:r>
    </w:p>
  </w:footnote>
  <w:footnote w:type="continuationSeparator" w:id="0">
    <w:p w:rsidR="00201826" w:rsidRDefault="0020182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074" w:rsidRPr="00874CF6" w:rsidRDefault="0017442B">
    <w:pPr>
      <w:pStyle w:val="af5"/>
      <w:jc w:val="center"/>
      <w:rPr>
        <w:rFonts w:ascii="Times New Roman" w:eastAsia="Times New Roman" w:hAnsi="Times New Roman" w:cs="Times New Roman"/>
        <w:sz w:val="20"/>
      </w:rPr>
    </w:pPr>
    <w:r w:rsidRPr="00874CF6">
      <w:rPr>
        <w:rFonts w:ascii="Times New Roman" w:hAnsi="Times New Roman" w:cs="Times New Roman"/>
        <w:sz w:val="20"/>
      </w:rPr>
      <w:fldChar w:fldCharType="begin"/>
    </w:r>
    <w:r w:rsidRPr="00874CF6">
      <w:rPr>
        <w:rFonts w:ascii="Times New Roman" w:hAnsi="Times New Roman" w:cs="Times New Roman"/>
        <w:sz w:val="20"/>
      </w:rPr>
      <w:instrText>PAGE \* MERGEFORMAT</w:instrText>
    </w:r>
    <w:r w:rsidRPr="00874CF6">
      <w:rPr>
        <w:rFonts w:ascii="Times New Roman" w:hAnsi="Times New Roman" w:cs="Times New Roman"/>
        <w:sz w:val="20"/>
      </w:rPr>
      <w:fldChar w:fldCharType="separate"/>
    </w:r>
    <w:r w:rsidR="001946C1" w:rsidRPr="001946C1">
      <w:rPr>
        <w:rFonts w:ascii="Times New Roman" w:eastAsia="Times New Roman" w:hAnsi="Times New Roman" w:cs="Times New Roman"/>
        <w:noProof/>
        <w:sz w:val="20"/>
      </w:rPr>
      <w:t>4</w:t>
    </w:r>
    <w:r w:rsidRPr="00874CF6">
      <w:rPr>
        <w:rFonts w:ascii="Times New Roman" w:eastAsia="Times New Roman" w:hAnsi="Times New Roman" w:cs="Times New Roman"/>
        <w:sz w:val="20"/>
      </w:rPr>
      <w:fldChar w:fldCharType="end"/>
    </w:r>
  </w:p>
  <w:p w:rsidR="00117074" w:rsidRDefault="00117074">
    <w:pPr>
      <w:pStyle w:val="af5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9F1"/>
    <w:multiLevelType w:val="multilevel"/>
    <w:tmpl w:val="0726AB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2F47191"/>
    <w:multiLevelType w:val="multilevel"/>
    <w:tmpl w:val="18B072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A87199C"/>
    <w:multiLevelType w:val="multilevel"/>
    <w:tmpl w:val="882A47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B917494"/>
    <w:multiLevelType w:val="multilevel"/>
    <w:tmpl w:val="C2AAA8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E9C3B2D"/>
    <w:multiLevelType w:val="multilevel"/>
    <w:tmpl w:val="5720F0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F3A5E4E"/>
    <w:multiLevelType w:val="multilevel"/>
    <w:tmpl w:val="9822E1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6" w15:restartNumberingAfterBreak="0">
    <w:nsid w:val="14385965"/>
    <w:multiLevelType w:val="hybridMultilevel"/>
    <w:tmpl w:val="933CDB20"/>
    <w:lvl w:ilvl="0" w:tplc="9AFC1B3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3A11FE"/>
    <w:multiLevelType w:val="multilevel"/>
    <w:tmpl w:val="601EBF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A9B5CD8"/>
    <w:multiLevelType w:val="multilevel"/>
    <w:tmpl w:val="0BA281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0785BB0"/>
    <w:multiLevelType w:val="hybridMultilevel"/>
    <w:tmpl w:val="8752D9DE"/>
    <w:lvl w:ilvl="0" w:tplc="9BCC72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F20EC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C1439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61C99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C44E5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0E68B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82C9B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E8A15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E2A53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0D67926"/>
    <w:multiLevelType w:val="multilevel"/>
    <w:tmpl w:val="941219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40E6F56"/>
    <w:multiLevelType w:val="multilevel"/>
    <w:tmpl w:val="D51053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549249D"/>
    <w:multiLevelType w:val="hybridMultilevel"/>
    <w:tmpl w:val="8BB40C82"/>
    <w:lvl w:ilvl="0" w:tplc="34224E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75EE3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7018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6AE32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706D3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15898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98CBD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10861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74EA6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27D26FC0"/>
    <w:multiLevelType w:val="hybridMultilevel"/>
    <w:tmpl w:val="F0E4F37A"/>
    <w:lvl w:ilvl="0" w:tplc="3700728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750C0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3C5265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141AA7A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BFF6D15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6674EB3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923EB9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6B22846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744E42D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2C5456EE"/>
    <w:multiLevelType w:val="multilevel"/>
    <w:tmpl w:val="852E9D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2CA576D5"/>
    <w:multiLevelType w:val="multilevel"/>
    <w:tmpl w:val="491074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B3E7D19"/>
    <w:multiLevelType w:val="multilevel"/>
    <w:tmpl w:val="E51287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3D361254"/>
    <w:multiLevelType w:val="multilevel"/>
    <w:tmpl w:val="C7BC34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412D1CFF"/>
    <w:multiLevelType w:val="multilevel"/>
    <w:tmpl w:val="6F50CA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91143E4"/>
    <w:multiLevelType w:val="multilevel"/>
    <w:tmpl w:val="39E222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512E1286"/>
    <w:multiLevelType w:val="multilevel"/>
    <w:tmpl w:val="071033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55DA5369"/>
    <w:multiLevelType w:val="multilevel"/>
    <w:tmpl w:val="45F2E9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AEB29AE"/>
    <w:multiLevelType w:val="multilevel"/>
    <w:tmpl w:val="9B580E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5E703BAB"/>
    <w:multiLevelType w:val="multilevel"/>
    <w:tmpl w:val="82126C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EA36C21"/>
    <w:multiLevelType w:val="multilevel"/>
    <w:tmpl w:val="F81AC9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606D0190"/>
    <w:multiLevelType w:val="multilevel"/>
    <w:tmpl w:val="B6FA13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61F2483C"/>
    <w:multiLevelType w:val="multilevel"/>
    <w:tmpl w:val="422C1A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6B74801"/>
    <w:multiLevelType w:val="multilevel"/>
    <w:tmpl w:val="89F874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FC17F1D"/>
    <w:multiLevelType w:val="multilevel"/>
    <w:tmpl w:val="84AEA9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74A41BA9"/>
    <w:multiLevelType w:val="hybridMultilevel"/>
    <w:tmpl w:val="B21EAE8E"/>
    <w:lvl w:ilvl="0" w:tplc="EE2A4C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4DE50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730B3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658D7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39081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82ED6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7A1F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B5A77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66E0B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6CE0344"/>
    <w:multiLevelType w:val="multilevel"/>
    <w:tmpl w:val="3C48E73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 w15:restartNumberingAfterBreak="0">
    <w:nsid w:val="76E15C06"/>
    <w:multiLevelType w:val="multilevel"/>
    <w:tmpl w:val="8E3C33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 w15:restartNumberingAfterBreak="0">
    <w:nsid w:val="7F3A2D52"/>
    <w:multiLevelType w:val="multilevel"/>
    <w:tmpl w:val="017081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6"/>
  </w:num>
  <w:num w:numId="2">
    <w:abstractNumId w:val="29"/>
  </w:num>
  <w:num w:numId="3">
    <w:abstractNumId w:val="9"/>
  </w:num>
  <w:num w:numId="4">
    <w:abstractNumId w:val="27"/>
  </w:num>
  <w:num w:numId="5">
    <w:abstractNumId w:val="8"/>
  </w:num>
  <w:num w:numId="6">
    <w:abstractNumId w:val="31"/>
  </w:num>
  <w:num w:numId="7">
    <w:abstractNumId w:val="25"/>
  </w:num>
  <w:num w:numId="8">
    <w:abstractNumId w:val="32"/>
  </w:num>
  <w:num w:numId="9">
    <w:abstractNumId w:val="7"/>
  </w:num>
  <w:num w:numId="10">
    <w:abstractNumId w:val="1"/>
  </w:num>
  <w:num w:numId="11">
    <w:abstractNumId w:val="19"/>
  </w:num>
  <w:num w:numId="12">
    <w:abstractNumId w:val="23"/>
  </w:num>
  <w:num w:numId="13">
    <w:abstractNumId w:val="28"/>
  </w:num>
  <w:num w:numId="14">
    <w:abstractNumId w:val="12"/>
  </w:num>
  <w:num w:numId="15">
    <w:abstractNumId w:val="17"/>
  </w:num>
  <w:num w:numId="16">
    <w:abstractNumId w:val="13"/>
  </w:num>
  <w:num w:numId="17">
    <w:abstractNumId w:val="10"/>
  </w:num>
  <w:num w:numId="18">
    <w:abstractNumId w:val="21"/>
  </w:num>
  <w:num w:numId="19">
    <w:abstractNumId w:val="22"/>
  </w:num>
  <w:num w:numId="20">
    <w:abstractNumId w:val="0"/>
  </w:num>
  <w:num w:numId="21">
    <w:abstractNumId w:val="5"/>
  </w:num>
  <w:num w:numId="22">
    <w:abstractNumId w:val="30"/>
  </w:num>
  <w:num w:numId="23">
    <w:abstractNumId w:val="2"/>
  </w:num>
  <w:num w:numId="24">
    <w:abstractNumId w:val="18"/>
  </w:num>
  <w:num w:numId="25">
    <w:abstractNumId w:val="26"/>
  </w:num>
  <w:num w:numId="26">
    <w:abstractNumId w:val="24"/>
  </w:num>
  <w:num w:numId="27">
    <w:abstractNumId w:val="20"/>
  </w:num>
  <w:num w:numId="28">
    <w:abstractNumId w:val="3"/>
  </w:num>
  <w:num w:numId="29">
    <w:abstractNumId w:val="14"/>
  </w:num>
  <w:num w:numId="30">
    <w:abstractNumId w:val="11"/>
  </w:num>
  <w:num w:numId="31">
    <w:abstractNumId w:val="4"/>
  </w:num>
  <w:num w:numId="32">
    <w:abstractNumId w:val="1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74"/>
    <w:rsid w:val="00117074"/>
    <w:rsid w:val="0017442B"/>
    <w:rsid w:val="001946C1"/>
    <w:rsid w:val="001C5C27"/>
    <w:rsid w:val="00201826"/>
    <w:rsid w:val="00566FD2"/>
    <w:rsid w:val="00863246"/>
    <w:rsid w:val="00874CF6"/>
    <w:rsid w:val="009673B4"/>
    <w:rsid w:val="00BF2272"/>
    <w:rsid w:val="00D6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8817"/>
  <w15:docId w15:val="{3887CFE7-C065-44B3-A0A5-51D93497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9">
    <w:name w:val="line number"/>
    <w:basedOn w:val="a0"/>
    <w:uiPriority w:val="99"/>
    <w:semiHidden/>
    <w:unhideWhenUsed/>
    <w:rsid w:val="0056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DA7BD205A9E19B1F3B5649260B8C876E9A41A8CBBA119928660EE0114E23CF8CB98C09F86849A455076D5094FD87D6EB03D760FFB379EF532F4DB8C7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C6570-68B8-450D-B174-D6B20670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Чамкина</dc:creator>
  <dc:description/>
  <cp:lastModifiedBy>Анна В. Чамкина</cp:lastModifiedBy>
  <cp:revision>7</cp:revision>
  <cp:lastPrinted>2024-01-17T12:51:00Z</cp:lastPrinted>
  <dcterms:created xsi:type="dcterms:W3CDTF">2024-01-17T12:29:00Z</dcterms:created>
  <dcterms:modified xsi:type="dcterms:W3CDTF">2024-01-17T12:54:00Z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