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>ЗАКЛЮЧЕНИЕ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>по проекту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/>
      </w:pPr>
      <w:r>
        <w:rPr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szCs w:val="26"/>
          <w:highlight w:val="whit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szCs w:val="26"/>
          <w:highlight w:val="white"/>
        </w:rPr>
        <w:t xml:space="preserve"> 20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szCs w:val="26"/>
          <w:highlight w:val="white"/>
        </w:rPr>
        <w:t xml:space="preserve">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Cs w:val="26"/>
        </w:rPr>
      </w:pPr>
      <w:r>
        <w:rPr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Федчиной Ю.С., Бренч И.С.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назначены приказом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.01.2024 № 15-д.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 по 02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05</w:t>
      </w:r>
      <w:r>
        <w:rPr>
          <w:color w:val="000000"/>
          <w:szCs w:val="26"/>
        </w:rPr>
        <w:t>.02.2024 г. № 07-01-1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8</w:t>
      </w:r>
      <w:r>
        <w:rPr>
          <w:color w:val="000000"/>
          <w:szCs w:val="26"/>
        </w:rPr>
        <w:t xml:space="preserve"> рассмотрен</w:t>
        <w:br/>
        <w:t>на заседании комиссии по территориальному планированию, землепользованию</w:t>
        <w:br/>
        <w:t xml:space="preserve">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09</w:t>
      </w:r>
      <w:r>
        <w:rPr>
          <w:color w:val="000000"/>
          <w:szCs w:val="26"/>
        </w:rPr>
        <w:t>.</w:t>
      </w:r>
      <w:r>
        <w:rPr>
          <w:color w:val="000000"/>
          <w:szCs w:val="26"/>
          <w:lang w:eastAsia="ar-SA"/>
        </w:rPr>
        <w:t>02</w:t>
      </w:r>
      <w:r>
        <w:rPr>
          <w:color w:val="000000"/>
          <w:szCs w:val="26"/>
        </w:rPr>
        <w:t>.2024 г.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  <w:highlight w:val="white"/>
        </w:rPr>
        <w:t>Г</w:t>
      </w:r>
      <w:r>
        <w:rPr>
          <w:color w:val="202122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</w:t>
        <w:br/>
        <w:t>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eastAsia="ar-SA"/>
        </w:rPr>
        <w:t>.</w:t>
      </w:r>
    </w:p>
    <w:p>
      <w:pPr>
        <w:pStyle w:val="Normal"/>
        <w:widowControl w:val="false"/>
        <w:spacing w:lineRule="auto" w:line="276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Председатель комиссии </w:t>
      </w:r>
      <w:bookmarkStart w:id="0" w:name="mail-clipboard-id-275876814816174126907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территориальному планированию,</w:t>
        <w:br/>
        <w:t>землепользованию и застройке Рязанской области                                     О.М. Алямовская</w:t>
      </w:r>
    </w:p>
    <w:sectPr>
      <w:headerReference w:type="default" r:id="rId2"/>
      <w:type w:val="nextPage"/>
      <w:pgSz w:w="11906" w:h="16838"/>
      <w:pgMar w:left="1276" w:right="650" w:header="0" w:top="57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LibreOffice/6.4.4.2$Linux_X86_64 LibreOffice_project/40$Build-2</Application>
  <Pages>1</Pages>
  <Words>196</Words>
  <Characters>1477</Characters>
  <CharactersWithSpaces>1698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cp:lastPrinted>2024-01-12T10:58:52Z</cp:lastPrinted>
  <dcterms:modified xsi:type="dcterms:W3CDTF">2024-02-09T14:01:52Z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