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.03.2024 № 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Пронское городское поселение Пронского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ИП Смирнова Р.А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 р.п. Пронск,</w:t>
        <w:br/>
        <w:t>ул. Новая, д. 22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14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10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 xml:space="preserve"> 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</w:t>
        <w:br/>
        <w:t>р.п. Пронск, ул. Новая, д. 22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29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 р.п. Пронск, ул. Новая, д. 22 (здание администрации) с 10:00 до 10:20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правила землепользования и застройки муниципального образования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Пронское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город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Пронского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29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.03.2024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р.п. Пронск, ул. Новая, . 22 (здание администрации) с 10:00 до 10:20.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№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17"/>
          <w:szCs w:val="17"/>
        </w:rPr>
      </w:pPr>
      <w:hyperlink r:id="rId25">
        <w:r>
          <w:rPr>
            <w:rFonts w:cs="Times New Roman"/>
            <w:b w:val="false"/>
            <w:bCs w:val="false"/>
            <w:strike w:val="false"/>
            <w:dstrike w:val="false"/>
            <w:sz w:val="17"/>
            <w:szCs w:val="17"/>
            <w:highlight w:val="white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footnotes" Target="footnotes.xml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1268</TotalTime>
  <Application>LibreOffice/6.4.4.2$Linux_X86_64 LibreOffice_project/40$Build-2</Application>
  <Pages>2</Pages>
  <Words>612</Words>
  <Characters>4561</Characters>
  <CharactersWithSpaces>5189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2024-03-13T17:29:21Z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