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FC" w:rsidRDefault="00E91B9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DFC" w:rsidRDefault="00E91B9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E0DFC" w:rsidRDefault="00E91B9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E0DFC" w:rsidRDefault="00DE0DF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E0DFC" w:rsidRDefault="00DE0DF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E0DFC" w:rsidRDefault="00E91B9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E0DFC" w:rsidRDefault="00DE0DFC">
      <w:pPr>
        <w:tabs>
          <w:tab w:val="left" w:pos="709"/>
        </w:tabs>
        <w:jc w:val="center"/>
        <w:rPr>
          <w:sz w:val="28"/>
        </w:rPr>
      </w:pPr>
    </w:p>
    <w:p w:rsidR="00DE0DFC" w:rsidRDefault="00DE0DFC">
      <w:pPr>
        <w:tabs>
          <w:tab w:val="left" w:pos="709"/>
        </w:tabs>
        <w:jc w:val="center"/>
        <w:rPr>
          <w:sz w:val="28"/>
        </w:rPr>
      </w:pPr>
    </w:p>
    <w:p w:rsidR="00DE0DFC" w:rsidRDefault="00B1637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февраля </w:t>
      </w:r>
      <w:r w:rsidR="00E91B9D">
        <w:rPr>
          <w:sz w:val="28"/>
        </w:rPr>
        <w:t xml:space="preserve">2024 г.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E91B9D">
        <w:rPr>
          <w:sz w:val="28"/>
        </w:rPr>
        <w:t xml:space="preserve">                       № </w:t>
      </w:r>
      <w:r>
        <w:rPr>
          <w:sz w:val="28"/>
        </w:rPr>
        <w:t>73-п</w:t>
      </w:r>
    </w:p>
    <w:p w:rsidR="00DE0DFC" w:rsidRDefault="00DE0DFC">
      <w:pPr>
        <w:tabs>
          <w:tab w:val="left" w:pos="709"/>
        </w:tabs>
        <w:jc w:val="both"/>
        <w:rPr>
          <w:sz w:val="28"/>
        </w:rPr>
      </w:pPr>
    </w:p>
    <w:p w:rsidR="00DE0DFC" w:rsidRDefault="00DE0DFC">
      <w:pPr>
        <w:tabs>
          <w:tab w:val="left" w:pos="709"/>
        </w:tabs>
        <w:jc w:val="both"/>
        <w:rPr>
          <w:color w:val="auto"/>
          <w:sz w:val="28"/>
        </w:rPr>
      </w:pPr>
    </w:p>
    <w:p w:rsidR="00DE0DFC" w:rsidRDefault="00E91B9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генеральный план муниципального образования – Дядьковское сельское поселение Рязанского муниципального района</w:t>
      </w:r>
    </w:p>
    <w:p w:rsidR="00DE0DFC" w:rsidRDefault="00E91B9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DE0DFC" w:rsidRDefault="00DE0DFC">
      <w:pPr>
        <w:tabs>
          <w:tab w:val="left" w:pos="709"/>
        </w:tabs>
        <w:jc w:val="center"/>
        <w:rPr>
          <w:color w:val="auto"/>
          <w:sz w:val="28"/>
        </w:rPr>
      </w:pPr>
    </w:p>
    <w:p w:rsidR="00DE0DFC" w:rsidRDefault="00E91B9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</w:t>
      </w:r>
      <w:r>
        <w:rPr>
          <w:color w:val="auto"/>
          <w:sz w:val="28"/>
          <w:szCs w:val="28"/>
        </w:rPr>
        <w:t xml:space="preserve"> области от 28.12.2018 № 106-ОЗ                       «О перераспределении отдельных пол</w:t>
      </w:r>
      <w:bookmarkStart w:id="0" w:name="_GoBack"/>
      <w:bookmarkEnd w:id="0"/>
      <w:r>
        <w:rPr>
          <w:color w:val="auto"/>
          <w:sz w:val="28"/>
          <w:szCs w:val="28"/>
        </w:rPr>
        <w:t>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color w:val="auto"/>
          <w:sz w:val="28"/>
          <w:szCs w:val="28"/>
        </w:rPr>
        <w:t>занской области», руководствуясь постановлениями Правительства Рязанской области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</w:rPr>
        <w:t>от 06.09.2022 № 320 «О реализации положений пункта 2 статьи 7 Федерального закона от 14.03.2022 № 58-ФЗ «О внесении изменений в отдельные законодательные акты Российской Федер</w:t>
      </w:r>
      <w:r>
        <w:rPr>
          <w:color w:val="auto"/>
          <w:sz w:val="28"/>
        </w:rPr>
        <w:t xml:space="preserve">ации», </w:t>
      </w:r>
      <w:r>
        <w:rPr>
          <w:color w:val="auto"/>
          <w:sz w:val="28"/>
          <w:szCs w:val="28"/>
        </w:rPr>
        <w:t>от 06.08.2008 № 153</w:t>
      </w:r>
      <w:r>
        <w:rPr>
          <w:color w:val="auto"/>
          <w:sz w:val="28"/>
          <w:szCs w:val="28"/>
        </w:rPr>
        <w:br/>
        <w:t>«Об утверждении Положения о главном управлении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DE0DFC" w:rsidRDefault="00E91B9D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Утвердить изменения в генеральный план муници</w:t>
      </w:r>
      <w:r>
        <w:rPr>
          <w:color w:val="auto"/>
          <w:sz w:val="28"/>
          <w:szCs w:val="28"/>
        </w:rPr>
        <w:t>пального образования – Дядьковское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24.11.2022 № 714-п</w:t>
      </w:r>
      <w:r>
        <w:rPr>
          <w:color w:val="auto"/>
          <w:sz w:val="28"/>
          <w:szCs w:val="28"/>
        </w:rPr>
        <w:br/>
        <w:t xml:space="preserve">«Об утверждении генерального </w:t>
      </w:r>
      <w:r>
        <w:rPr>
          <w:color w:val="auto"/>
          <w:sz w:val="28"/>
          <w:szCs w:val="28"/>
        </w:rPr>
        <w:t>плана муниципального образования –</w:t>
      </w:r>
      <w:r>
        <w:rPr>
          <w:color w:val="auto"/>
          <w:sz w:val="28"/>
          <w:szCs w:val="28"/>
        </w:rPr>
        <w:br/>
        <w:t xml:space="preserve">Дядьковское сельское поселение Рязанского муниципального района Рязанской области» </w:t>
      </w:r>
      <w:r>
        <w:rPr>
          <w:color w:val="auto"/>
          <w:sz w:val="28"/>
          <w:szCs w:val="27"/>
        </w:rPr>
        <w:t>(в редакции постановления Главархитектуры Рязанской области</w:t>
      </w:r>
      <w:r>
        <w:rPr>
          <w:color w:val="auto"/>
          <w:sz w:val="28"/>
          <w:szCs w:val="27"/>
        </w:rPr>
        <w:br/>
        <w:t>от 25.10.2023 № 518-п)</w:t>
      </w:r>
      <w:r>
        <w:rPr>
          <w:color w:val="auto"/>
          <w:sz w:val="28"/>
          <w:szCs w:val="28"/>
        </w:rPr>
        <w:t>:</w:t>
      </w:r>
    </w:p>
    <w:p w:rsidR="00DE0DFC" w:rsidRDefault="00E91B9D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1) </w:t>
      </w:r>
      <w:r>
        <w:rPr>
          <w:color w:val="auto"/>
          <w:sz w:val="28"/>
          <w:szCs w:val="28"/>
        </w:rPr>
        <w:t xml:space="preserve">в </w:t>
      </w:r>
      <w:r>
        <w:rPr>
          <w:sz w:val="28"/>
          <w:szCs w:val="28"/>
        </w:rPr>
        <w:t>пункте 2.1 положения о территориальном планирован</w:t>
      </w:r>
      <w:r>
        <w:rPr>
          <w:sz w:val="28"/>
          <w:szCs w:val="28"/>
        </w:rPr>
        <w:t>ии:</w:t>
      </w:r>
    </w:p>
    <w:p w:rsidR="00DE0DFC" w:rsidRDefault="00E91B9D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t>а) таблицу перечня функциональных зон дополнить строкой следующего содержания:</w:t>
      </w:r>
    </w:p>
    <w:tbl>
      <w:tblPr>
        <w:tblW w:w="9998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284"/>
        <w:gridCol w:w="2268"/>
        <w:gridCol w:w="6378"/>
        <w:gridCol w:w="426"/>
      </w:tblGrid>
      <w:tr w:rsidR="00DE0DFC">
        <w:trPr>
          <w:trHeight w:val="733"/>
          <w:tblHeader/>
        </w:trPr>
        <w:tc>
          <w:tcPr>
            <w:tcW w:w="6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EFF" w:fill="FFFEFF"/>
          </w:tcPr>
          <w:p w:rsidR="00DE0DFC" w:rsidRDefault="00DE0DFC">
            <w:pPr>
              <w:pStyle w:val="afa"/>
              <w:widowControl w:val="0"/>
              <w:ind w:left="0"/>
              <w:jc w:val="center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FFEFF" w:fill="FFFEFF"/>
          </w:tcPr>
          <w:p w:rsidR="00DE0DFC" w:rsidRDefault="00E91B9D">
            <w:pPr>
              <w:pStyle w:val="afa"/>
              <w:widowControl w:val="0"/>
              <w:numPr>
                <w:ilvl w:val="0"/>
                <w:numId w:val="33"/>
              </w:numPr>
              <w:jc w:val="center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FFFEFF" w:fill="FFFEFF"/>
            <w:vAlign w:val="center"/>
          </w:tcPr>
          <w:p w:rsidR="00DE0DFC" w:rsidRDefault="00E91B9D">
            <w:pPr>
              <w:pStyle w:val="afa"/>
              <w:widowControl w:val="0"/>
              <w:ind w:left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8260" distB="48260" distL="47625" distR="48260" simplePos="0" relativeHeight="251659264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59055</wp:posOffset>
                      </wp:positionV>
                      <wp:extent cx="707390" cy="324485"/>
                      <wp:effectExtent l="5715" t="5080" r="4445" b="5080"/>
                      <wp:wrapSquare wrapText="bothSides"/>
                      <wp:docPr id="2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668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E0DFC" w:rsidRDefault="00DE0DFC">
                                  <w:pPr>
                                    <w:pStyle w:val="afb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margin-left:18.5pt;margin-top:4.65pt;width:55.7pt;height:25.55pt;z-index:251659264;visibility:visible;mso-wrap-style:square;mso-wrap-distance-left:3.75pt;mso-wrap-distance-top:3.8pt;mso-wrap-distance-right:3.8pt;mso-wrap-distance-bottom:3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" fillcolor="#54958d">
                      <v:stroke joinstyle="round"/>
                      <v:textbox>
                        <w:txbxContent>
                          <w:p w:rsidR="00DE0DFC" w:rsidRDefault="00DE0DFC">
                            <w:pPr>
                              <w:pStyle w:val="afb"/>
                              <w:widowControl w:val="0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6378" w:type="dxa"/>
            <w:shd w:val="clear" w:color="FFFEFF" w:fill="FFFEFF"/>
            <w:vAlign w:val="center"/>
          </w:tcPr>
          <w:p w:rsidR="00DE0DFC" w:rsidRDefault="00E91B9D">
            <w:pPr>
              <w:pStyle w:val="afa"/>
              <w:widowControl w:val="0"/>
              <w:numPr>
                <w:ilvl w:val="0"/>
                <w:numId w:val="33"/>
              </w:numPr>
              <w:ind w:left="57"/>
            </w:pPr>
            <w:r>
              <w:rPr>
                <w:bCs/>
                <w:color w:val="000000"/>
                <w:szCs w:val="24"/>
                <w:shd w:val="clear" w:color="FFFFFF" w:fill="FFFFFF"/>
                <w:lang w:bidi="ru-RU"/>
              </w:rPr>
              <w:t>Зоны рекреационного назначения</w:t>
            </w:r>
          </w:p>
        </w:tc>
        <w:tc>
          <w:tcPr>
            <w:tcW w:w="42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FFFEFF" w:fill="FFFEFF"/>
            <w:vAlign w:val="bottom"/>
          </w:tcPr>
          <w:p w:rsidR="00DE0DFC" w:rsidRDefault="00E91B9D">
            <w:pPr>
              <w:pStyle w:val="afa"/>
              <w:widowControl w:val="0"/>
              <w:numPr>
                <w:ilvl w:val="0"/>
                <w:numId w:val="33"/>
              </w:numPr>
              <w:ind w:left="57"/>
            </w:pPr>
            <w:r>
              <w:rPr>
                <w:sz w:val="28"/>
                <w:szCs w:val="28"/>
                <w:shd w:val="clear" w:color="FFFFFF" w:fill="FFFFFF"/>
              </w:rPr>
              <w:t>»;</w:t>
            </w:r>
          </w:p>
        </w:tc>
      </w:tr>
    </w:tbl>
    <w:p w:rsidR="00DE0DFC" w:rsidRDefault="00E91B9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>б) в таблице, определяющей площади функциональных зон:</w:t>
      </w:r>
    </w:p>
    <w:p w:rsidR="00DE0DFC" w:rsidRDefault="00E91B9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- цифры «26,54</w:t>
      </w:r>
      <w:r>
        <w:rPr>
          <w:color w:val="auto"/>
          <w:sz w:val="28"/>
          <w:szCs w:val="28"/>
          <w:lang w:bidi="ru-RU"/>
        </w:rPr>
        <w:t>» заменить цифрами «31,38»</w:t>
      </w:r>
      <w:r>
        <w:rPr>
          <w:color w:val="auto"/>
        </w:rPr>
        <w:t xml:space="preserve">, </w:t>
      </w:r>
      <w:r>
        <w:rPr>
          <w:color w:val="auto"/>
          <w:sz w:val="28"/>
        </w:rPr>
        <w:t>цифры «</w:t>
      </w:r>
      <w:r>
        <w:rPr>
          <w:color w:val="auto"/>
          <w:sz w:val="28"/>
          <w:szCs w:val="28"/>
          <w:lang w:bidi="ru-RU"/>
        </w:rPr>
        <w:t>344,83» заменить цифрами «335,42»</w:t>
      </w:r>
      <w:r>
        <w:rPr>
          <w:color w:val="auto"/>
        </w:rPr>
        <w:t xml:space="preserve">, </w:t>
      </w:r>
      <w:r>
        <w:rPr>
          <w:color w:val="auto"/>
          <w:sz w:val="28"/>
        </w:rPr>
        <w:t>цифры «</w:t>
      </w:r>
      <w:r>
        <w:rPr>
          <w:color w:val="auto"/>
          <w:sz w:val="28"/>
          <w:szCs w:val="28"/>
          <w:lang w:bidi="ru-RU"/>
        </w:rPr>
        <w:t>2523,52» заменить цифрами «2520,81»;</w:t>
      </w:r>
    </w:p>
    <w:p w:rsidR="00DE0DFC" w:rsidRDefault="00E91B9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- дополнить строкой следующего содержания</w:t>
      </w:r>
      <w:r>
        <w:rPr>
          <w:rFonts w:ascii="Times New Roman" w:hAnsi="Times New Roman"/>
          <w:color w:val="auto"/>
          <w:sz w:val="28"/>
          <w:szCs w:val="27"/>
        </w:rPr>
        <w:t>:</w:t>
      </w:r>
    </w:p>
    <w:tbl>
      <w:tblPr>
        <w:tblW w:w="10074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72"/>
        <w:gridCol w:w="719"/>
        <w:gridCol w:w="6236"/>
        <w:gridCol w:w="1702"/>
        <w:gridCol w:w="425"/>
      </w:tblGrid>
      <w:tr w:rsidR="00DE0DFC">
        <w:trPr>
          <w:trHeight w:val="388"/>
        </w:trPr>
        <w:tc>
          <w:tcPr>
            <w:tcW w:w="720" w:type="dxa"/>
          </w:tcPr>
          <w:p w:rsidR="00DE0DFC" w:rsidRDefault="00DE0DFC">
            <w:pPr>
              <w:pStyle w:val="afa"/>
              <w:tabs>
                <w:tab w:val="left" w:pos="0"/>
                <w:tab w:val="left" w:pos="1276"/>
              </w:tabs>
            </w:pPr>
          </w:p>
        </w:tc>
        <w:tc>
          <w:tcPr>
            <w:tcW w:w="272" w:type="dxa"/>
            <w:tcBorders>
              <w:right w:val="single" w:sz="4" w:space="0" w:color="000000"/>
            </w:tcBorders>
          </w:tcPr>
          <w:p w:rsidR="00DE0DFC" w:rsidRDefault="00E91B9D">
            <w:pPr>
              <w:pStyle w:val="afa"/>
              <w:tabs>
                <w:tab w:val="left" w:pos="0"/>
                <w:tab w:val="left" w:pos="1276"/>
              </w:tabs>
            </w:pPr>
            <w:r>
              <w:rPr>
                <w:sz w:val="28"/>
              </w:rPr>
              <w:t>«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FC" w:rsidRDefault="00E91B9D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51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DFC" w:rsidRDefault="00E91B9D">
            <w:pPr>
              <w:pStyle w:val="30"/>
              <w:widowControl w:val="0"/>
              <w:tabs>
                <w:tab w:val="left" w:pos="0"/>
                <w:tab w:val="left" w:pos="127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Зоны рекреационного назначения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FC" w:rsidRDefault="00E91B9D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7,26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DE0DFC" w:rsidRDefault="00E91B9D">
            <w:pPr>
              <w:pStyle w:val="33"/>
              <w:tabs>
                <w:tab w:val="left" w:pos="0"/>
                <w:tab w:val="left" w:pos="1276"/>
              </w:tabs>
              <w:rPr>
                <w:color w:val="auto"/>
              </w:rPr>
            </w:pPr>
            <w:r>
              <w:rPr>
                <w:color w:val="auto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»;</w:t>
            </w:r>
          </w:p>
        </w:tc>
      </w:tr>
    </w:tbl>
    <w:p w:rsidR="00DE0DFC" w:rsidRDefault="00E91B9D">
      <w:pPr>
        <w:ind w:firstLine="709"/>
        <w:jc w:val="both"/>
        <w:rPr>
          <w:color w:val="auto"/>
        </w:rPr>
      </w:pPr>
      <w:r>
        <w:rPr>
          <w:bCs/>
          <w:color w:val="auto"/>
          <w:sz w:val="28"/>
          <w:szCs w:val="28"/>
          <w:shd w:val="clear" w:color="FFFFFF" w:fill="FFFFFF"/>
          <w:lang w:bidi="ru-RU"/>
        </w:rPr>
        <w:t xml:space="preserve">2) </w:t>
      </w:r>
      <w:r>
        <w:rPr>
          <w:color w:val="auto"/>
          <w:sz w:val="28"/>
          <w:szCs w:val="28"/>
        </w:rPr>
        <w:t xml:space="preserve">пункт 2.1 положения о территориальном планировании </w:t>
      </w:r>
      <w:r>
        <w:rPr>
          <w:bCs/>
          <w:color w:val="auto"/>
          <w:sz w:val="28"/>
          <w:szCs w:val="28"/>
          <w:shd w:val="clear" w:color="FFFFFF" w:fill="FFFFFF"/>
          <w:lang w:bidi="ru-RU"/>
        </w:rPr>
        <w:t>дополнить</w:t>
      </w:r>
      <w:r>
        <w:rPr>
          <w:rFonts w:eastAsia="Calibri" w:cs="Calibri"/>
          <w:bCs/>
          <w:color w:val="auto"/>
          <w:sz w:val="28"/>
          <w:szCs w:val="28"/>
          <w:shd w:val="clear" w:color="FFFFFF" w:fill="FFFFFF"/>
          <w:lang w:bidi="ru-RU"/>
        </w:rPr>
        <w:t xml:space="preserve"> абзацем следующего содержания:</w:t>
      </w:r>
    </w:p>
    <w:p w:rsidR="00DE0DFC" w:rsidRDefault="00E91B9D">
      <w:pPr>
        <w:widowControl w:val="0"/>
        <w:ind w:firstLine="680"/>
        <w:contextualSpacing/>
        <w:jc w:val="both"/>
        <w:rPr>
          <w:rFonts w:eastAsia="xo thames;times new roman" w:cs="Times New Roman"/>
          <w:color w:val="auto"/>
        </w:rPr>
      </w:pPr>
      <w:r>
        <w:rPr>
          <w:rFonts w:eastAsia="xo thames;times new roman" w:cs="Times New Roman"/>
          <w:bCs/>
          <w:color w:val="auto"/>
          <w:sz w:val="28"/>
          <w:szCs w:val="28"/>
          <w:lang w:bidi="ru-RU"/>
        </w:rPr>
        <w:t>«Зоны рекреационного назначения.</w:t>
      </w:r>
    </w:p>
    <w:p w:rsidR="00DE0DFC" w:rsidRDefault="00E91B9D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eastAsia="xo thames;times new roman" w:cs="Times New Roman"/>
          <w:bCs/>
          <w:color w:val="auto"/>
          <w:sz w:val="28"/>
          <w:szCs w:val="28"/>
          <w:lang w:bidi="ru-RU"/>
        </w:rPr>
        <w:t xml:space="preserve">Зоны рекреационного назначения предназначены </w:t>
      </w:r>
      <w:r>
        <w:rPr>
          <w:rFonts w:eastAsia="xo thames;times new roman" w:cs="Times New Roman"/>
          <w:bCs/>
          <w:color w:val="auto"/>
          <w:sz w:val="28"/>
          <w:szCs w:val="28"/>
          <w:lang w:eastAsia="ar-SA" w:bidi="ru-RU"/>
        </w:rPr>
        <w:t>для размещения гостиниц, зданий и сооружений предназначенных для организации развлекательных мероприятий, отдыха граждан, благоустройства территор</w:t>
      </w:r>
      <w:r>
        <w:rPr>
          <w:rFonts w:eastAsia="xo thames;times new roman" w:cs="Times New Roman"/>
          <w:bCs/>
          <w:color w:val="auto"/>
          <w:sz w:val="28"/>
          <w:szCs w:val="28"/>
          <w:lang w:eastAsia="ar-SA" w:bidi="ru-RU"/>
        </w:rPr>
        <w:t>ии»;</w:t>
      </w:r>
    </w:p>
    <w:p w:rsidR="00DE0DFC" w:rsidRDefault="00E91B9D">
      <w:pPr>
        <w:pStyle w:val="a9"/>
        <w:widowControl w:val="0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</w:t>
      </w:r>
      <w:r>
        <w:rPr>
          <w:color w:val="auto"/>
          <w:sz w:val="28"/>
          <w:szCs w:val="27"/>
        </w:rPr>
        <w:t>в приложении № 1 согласно приложению № 1 к настоящему постановлению;</w:t>
      </w:r>
    </w:p>
    <w:p w:rsidR="00DE0DFC" w:rsidRDefault="00E91B9D">
      <w:pPr>
        <w:pStyle w:val="a9"/>
        <w:widowControl w:val="0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</w:t>
      </w:r>
      <w:r>
        <w:rPr>
          <w:color w:val="auto"/>
          <w:sz w:val="28"/>
          <w:szCs w:val="27"/>
        </w:rPr>
        <w:t>в приложении № 2 согласно приложению № 2 к настоящему постановлению</w:t>
      </w:r>
      <w:r>
        <w:rPr>
          <w:color w:val="auto"/>
        </w:rPr>
        <w:t>;</w:t>
      </w:r>
    </w:p>
    <w:p w:rsidR="00DE0DFC" w:rsidRDefault="00E91B9D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5) </w:t>
      </w:r>
      <w:r>
        <w:rPr>
          <w:color w:val="auto"/>
          <w:sz w:val="28"/>
          <w:szCs w:val="27"/>
        </w:rPr>
        <w:t>в приложении № 3 согласно приложению № 3 к настоящему постановлению.</w:t>
      </w:r>
    </w:p>
    <w:p w:rsidR="00DE0DFC" w:rsidRDefault="00E91B9D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7"/>
        </w:rPr>
        <w:t>Графическое описание местоположения границ населенного пункта</w:t>
      </w:r>
      <w:r>
        <w:rPr>
          <w:sz w:val="28"/>
          <w:szCs w:val="27"/>
        </w:rPr>
        <w:br/>
        <w:t>с. Дядьково изложить согласно приложению № 4 к настоящему постановлению</w:t>
      </w:r>
      <w:r>
        <w:rPr>
          <w:sz w:val="28"/>
        </w:rPr>
        <w:t>.</w:t>
      </w:r>
    </w:p>
    <w:p w:rsidR="00DE0DFC" w:rsidRDefault="00E91B9D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7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E0DFC" w:rsidRDefault="00E91B9D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</w:t>
      </w:r>
      <w:r>
        <w:rPr>
          <w:sz w:val="28"/>
          <w:szCs w:val="28"/>
        </w:rPr>
        <w:t>нской области</w:t>
      </w:r>
      <w:r>
        <w:rPr>
          <w:sz w:val="28"/>
          <w:szCs w:val="28"/>
        </w:rPr>
        <w:br/>
        <w:t>«Центр градостроительного развития Рязанской области»:</w:t>
      </w:r>
    </w:p>
    <w:p w:rsidR="00DE0DFC" w:rsidRDefault="00E91B9D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</w:t>
      </w:r>
      <w:r>
        <w:rPr>
          <w:color w:val="auto"/>
          <w:sz w:val="28"/>
        </w:rPr>
        <w:t xml:space="preserve">генеральный план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Дядьковское сельское поселение Рязанского муниципального района Рязанской области в федеральной государс</w:t>
      </w:r>
      <w:r>
        <w:rPr>
          <w:color w:val="auto"/>
          <w:sz w:val="28"/>
          <w:szCs w:val="28"/>
        </w:rPr>
        <w:t>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DE0DFC" w:rsidRDefault="00E91B9D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</w:t>
      </w:r>
      <w:r>
        <w:rPr>
          <w:rFonts w:cs="Times New Roman"/>
          <w:color w:val="auto"/>
          <w:sz w:val="28"/>
          <w:szCs w:val="28"/>
        </w:rPr>
        <w:t xml:space="preserve">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</w:t>
      </w:r>
      <w:r>
        <w:rPr>
          <w:rFonts w:cs="Times New Roman"/>
          <w:color w:val="auto"/>
          <w:sz w:val="28"/>
          <w:szCs w:val="28"/>
        </w:rPr>
        <w:t>регистрации прав, ведение Единого государственного реестра недвижимости, сведения о границах населенных пунктов для внесения                        в Единый государственный реестр недвижимости в соответствии                                    с Федеральным</w:t>
      </w:r>
      <w:r>
        <w:rPr>
          <w:rFonts w:cs="Times New Roman"/>
          <w:color w:val="auto"/>
          <w:sz w:val="28"/>
          <w:szCs w:val="28"/>
        </w:rPr>
        <w:t xml:space="preserve">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DE0DFC" w:rsidRDefault="00E91B9D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DE0DFC" w:rsidRDefault="00E91B9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</w:t>
      </w:r>
      <w:r>
        <w:rPr>
          <w:rFonts w:ascii="Times New Roman" w:hAnsi="Times New Roman"/>
          <w:color w:val="auto"/>
          <w:sz w:val="28"/>
          <w:szCs w:val="28"/>
        </w:rPr>
        <w:t>нской области;</w:t>
      </w:r>
    </w:p>
    <w:p w:rsidR="00DE0DFC" w:rsidRDefault="00E91B9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«Рязанские ведомости» (www.rv-ryazan.ru) и на официальном интернет-портале правовой информации (www.pravo.gov.ru).</w:t>
      </w:r>
    </w:p>
    <w:p w:rsidR="00DE0DFC" w:rsidRDefault="00E91B9D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информационного обеспечения градостроительной деятельности </w:t>
      </w:r>
      <w:r>
        <w:rPr>
          <w:sz w:val="28"/>
          <w:szCs w:val="28"/>
        </w:rPr>
        <w:t>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E0DFC" w:rsidRDefault="00E91B9D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главе муниципального образования – Рязанский муниципальный район Рязанской области,</w:t>
      </w:r>
      <w:r>
        <w:rPr>
          <w:sz w:val="28"/>
          <w:szCs w:val="28"/>
        </w:rPr>
        <w:t xml:space="preserve"> главе муниципального образования – Дядьковское сельское поселение Рязанского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</w:t>
      </w:r>
      <w:r>
        <w:rPr>
          <w:sz w:val="28"/>
          <w:szCs w:val="28"/>
        </w:rPr>
        <w:t>ассовой информации.</w:t>
      </w:r>
    </w:p>
    <w:p w:rsidR="00DE0DFC" w:rsidRDefault="00E91B9D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sz w:val="28"/>
        </w:rPr>
        <w:t xml:space="preserve">на </w:t>
      </w:r>
      <w:r>
        <w:rPr>
          <w:sz w:val="28"/>
          <w:szCs w:val="28"/>
        </w:rPr>
        <w:t>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Т.С. Попкову.</w:t>
      </w:r>
    </w:p>
    <w:p w:rsidR="00DE0DFC" w:rsidRDefault="00DE0DFC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DE0DFC" w:rsidRDefault="00DE0DFC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DE0DFC" w:rsidRDefault="00E91B9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DE0DFC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9D" w:rsidRDefault="00E91B9D">
      <w:pPr>
        <w:pStyle w:val="30"/>
      </w:pPr>
      <w:r>
        <w:separator/>
      </w:r>
    </w:p>
  </w:endnote>
  <w:endnote w:type="continuationSeparator" w:id="0">
    <w:p w:rsidR="00E91B9D" w:rsidRDefault="00E91B9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xo thames;times new roma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9D" w:rsidRDefault="00E91B9D">
      <w:pPr>
        <w:pStyle w:val="30"/>
      </w:pPr>
      <w:r>
        <w:separator/>
      </w:r>
    </w:p>
  </w:footnote>
  <w:footnote w:type="continuationSeparator" w:id="0">
    <w:p w:rsidR="00E91B9D" w:rsidRDefault="00E91B9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DFC" w:rsidRDefault="00E91B9D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B16375" w:rsidRPr="00B16375">
      <w:rPr>
        <w:rFonts w:ascii="Times New Roman" w:eastAsia="Times New Roman" w:hAnsi="Times New Roman" w:cs="Times New Roman"/>
        <w:noProof/>
        <w:sz w:val="28"/>
      </w:rPr>
      <w:t>3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DE0DFC" w:rsidRDefault="00DE0DFC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3F2"/>
    <w:multiLevelType w:val="multilevel"/>
    <w:tmpl w:val="F75C0F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1750217"/>
    <w:multiLevelType w:val="hybridMultilevel"/>
    <w:tmpl w:val="BE847518"/>
    <w:lvl w:ilvl="0" w:tplc="A15275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AA06D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F06F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2478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32811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124D9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AB83C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D2E0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BFEDD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54725D"/>
    <w:multiLevelType w:val="multilevel"/>
    <w:tmpl w:val="2D2A09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16684677"/>
    <w:multiLevelType w:val="multilevel"/>
    <w:tmpl w:val="915E32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4" w15:restartNumberingAfterBreak="0">
    <w:nsid w:val="170F584B"/>
    <w:multiLevelType w:val="multilevel"/>
    <w:tmpl w:val="043A78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1B497A33"/>
    <w:multiLevelType w:val="hybridMultilevel"/>
    <w:tmpl w:val="A09CF2BA"/>
    <w:lvl w:ilvl="0" w:tplc="84820B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CF8D2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12C14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AEE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6EA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41AAA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340AD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BC029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F40D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40624DD"/>
    <w:multiLevelType w:val="multilevel"/>
    <w:tmpl w:val="6D2EDD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24741E28"/>
    <w:multiLevelType w:val="multilevel"/>
    <w:tmpl w:val="08E802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4EF2CF5"/>
    <w:multiLevelType w:val="multilevel"/>
    <w:tmpl w:val="10E6A082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EEA0351"/>
    <w:multiLevelType w:val="multilevel"/>
    <w:tmpl w:val="0EEA78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F4D4F8C"/>
    <w:multiLevelType w:val="multilevel"/>
    <w:tmpl w:val="C8E2F9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78F31DA"/>
    <w:multiLevelType w:val="hybridMultilevel"/>
    <w:tmpl w:val="56569E92"/>
    <w:lvl w:ilvl="0" w:tplc="DE32C61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1FC01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28A78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B6615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00F8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2AC80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7A833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D76E5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16C6F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9812EF"/>
    <w:multiLevelType w:val="multilevel"/>
    <w:tmpl w:val="48DA2E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3CB408C1"/>
    <w:multiLevelType w:val="multilevel"/>
    <w:tmpl w:val="6FD81A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DEA05A5"/>
    <w:multiLevelType w:val="multilevel"/>
    <w:tmpl w:val="8D4AE4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421A13BD"/>
    <w:multiLevelType w:val="multilevel"/>
    <w:tmpl w:val="01AEA8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44AD655F"/>
    <w:multiLevelType w:val="multilevel"/>
    <w:tmpl w:val="295648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5882342"/>
    <w:multiLevelType w:val="multilevel"/>
    <w:tmpl w:val="AB6E06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47136BB3"/>
    <w:multiLevelType w:val="multilevel"/>
    <w:tmpl w:val="13FE60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73177BE"/>
    <w:multiLevelType w:val="hybridMultilevel"/>
    <w:tmpl w:val="0EBC91AE"/>
    <w:lvl w:ilvl="0" w:tplc="379CD0E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FE268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7072279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E5CD5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F4F8743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B3FA17C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E5D2520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4B682B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51B86C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807031F"/>
    <w:multiLevelType w:val="multilevel"/>
    <w:tmpl w:val="87FAF7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55D9353C"/>
    <w:multiLevelType w:val="multilevel"/>
    <w:tmpl w:val="4B8A44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7176283"/>
    <w:multiLevelType w:val="multilevel"/>
    <w:tmpl w:val="47E0AE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847626E"/>
    <w:multiLevelType w:val="multilevel"/>
    <w:tmpl w:val="78F27F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5C4D36B0"/>
    <w:multiLevelType w:val="multilevel"/>
    <w:tmpl w:val="D5CC94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61E84F9C"/>
    <w:multiLevelType w:val="multilevel"/>
    <w:tmpl w:val="9B1270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5CC0CCC"/>
    <w:multiLevelType w:val="multilevel"/>
    <w:tmpl w:val="7226BF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 w15:restartNumberingAfterBreak="0">
    <w:nsid w:val="69B47A9B"/>
    <w:multiLevelType w:val="multilevel"/>
    <w:tmpl w:val="1BA4E7D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6D5A7253"/>
    <w:multiLevelType w:val="multilevel"/>
    <w:tmpl w:val="1DDA8A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F3470A3"/>
    <w:multiLevelType w:val="multilevel"/>
    <w:tmpl w:val="9A5C3A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719B16DE"/>
    <w:multiLevelType w:val="multilevel"/>
    <w:tmpl w:val="6B4CD8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788F695D"/>
    <w:multiLevelType w:val="multilevel"/>
    <w:tmpl w:val="F000CE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7F7C149B"/>
    <w:multiLevelType w:val="hybridMultilevel"/>
    <w:tmpl w:val="6E9A7F4C"/>
    <w:lvl w:ilvl="0" w:tplc="2ADCC4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3CCB9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52698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7742E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FC41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1B2C6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EEAB4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010AF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94E37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32"/>
  </w:num>
  <w:num w:numId="3">
    <w:abstractNumId w:val="1"/>
  </w:num>
  <w:num w:numId="4">
    <w:abstractNumId w:val="22"/>
  </w:num>
  <w:num w:numId="5">
    <w:abstractNumId w:val="17"/>
  </w:num>
  <w:num w:numId="6">
    <w:abstractNumId w:val="12"/>
  </w:num>
  <w:num w:numId="7">
    <w:abstractNumId w:val="10"/>
  </w:num>
  <w:num w:numId="8">
    <w:abstractNumId w:val="6"/>
  </w:num>
  <w:num w:numId="9">
    <w:abstractNumId w:val="28"/>
  </w:num>
  <w:num w:numId="10">
    <w:abstractNumId w:val="26"/>
  </w:num>
  <w:num w:numId="11">
    <w:abstractNumId w:val="14"/>
  </w:num>
  <w:num w:numId="12">
    <w:abstractNumId w:val="21"/>
  </w:num>
  <w:num w:numId="13">
    <w:abstractNumId w:val="31"/>
  </w:num>
  <w:num w:numId="14">
    <w:abstractNumId w:val="5"/>
  </w:num>
  <w:num w:numId="15">
    <w:abstractNumId w:val="23"/>
  </w:num>
  <w:num w:numId="16">
    <w:abstractNumId w:val="19"/>
  </w:num>
  <w:num w:numId="17">
    <w:abstractNumId w:val="24"/>
  </w:num>
  <w:num w:numId="18">
    <w:abstractNumId w:val="30"/>
  </w:num>
  <w:num w:numId="19">
    <w:abstractNumId w:val="29"/>
  </w:num>
  <w:num w:numId="20">
    <w:abstractNumId w:val="25"/>
  </w:num>
  <w:num w:numId="21">
    <w:abstractNumId w:val="3"/>
  </w:num>
  <w:num w:numId="22">
    <w:abstractNumId w:val="27"/>
  </w:num>
  <w:num w:numId="23">
    <w:abstractNumId w:val="18"/>
  </w:num>
  <w:num w:numId="24">
    <w:abstractNumId w:val="16"/>
  </w:num>
  <w:num w:numId="25">
    <w:abstractNumId w:val="9"/>
  </w:num>
  <w:num w:numId="26">
    <w:abstractNumId w:val="20"/>
  </w:num>
  <w:num w:numId="27">
    <w:abstractNumId w:val="2"/>
  </w:num>
  <w:num w:numId="28">
    <w:abstractNumId w:val="0"/>
  </w:num>
  <w:num w:numId="29">
    <w:abstractNumId w:val="4"/>
  </w:num>
  <w:num w:numId="30">
    <w:abstractNumId w:val="7"/>
  </w:num>
  <w:num w:numId="31">
    <w:abstractNumId w:val="13"/>
  </w:num>
  <w:num w:numId="32">
    <w:abstractNumId w:val="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FC"/>
    <w:rsid w:val="00B16375"/>
    <w:rsid w:val="00DE0DFC"/>
    <w:rsid w:val="00E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829E"/>
  <w15:docId w15:val="{F53E6FFD-5102-4FF0-A630-47E6CC55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d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184</cp:revision>
  <dcterms:created xsi:type="dcterms:W3CDTF">2024-02-27T07:21:00Z</dcterms:created>
  <dcterms:modified xsi:type="dcterms:W3CDTF">2024-02-29T07:39:00Z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