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к постановлению Главархитектуры 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>
      <w:pPr>
        <w:pStyle w:val="Normal"/>
        <w:widowControl w:val="false"/>
        <w:jc w:val="righ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hi-IN"/>
        </w:rPr>
        <w:t>22</w:t>
      </w:r>
      <w:r>
        <w:rPr>
          <w:rFonts w:eastAsia="Times New Roman" w:cs="Times New Roman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hi-IN"/>
        </w:rPr>
        <w:t>марта</w:t>
      </w:r>
      <w:r>
        <w:rPr>
          <w:rFonts w:eastAsia="Times New Roman" w:cs="Times New Roman"/>
          <w:sz w:val="28"/>
          <w:szCs w:val="28"/>
        </w:rPr>
        <w:t xml:space="preserve"> 2024 г.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hi-IN"/>
        </w:rPr>
        <w:t>102-п</w:t>
      </w:r>
    </w:p>
    <w:p>
      <w:pPr>
        <w:pStyle w:val="Normal"/>
        <w:widowControl w:val="false"/>
        <w:suppressAutoHyphens w:val="false"/>
        <w:ind w:left="0" w:right="0" w:firstLine="53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ind w:left="0" w:right="0" w:firstLine="539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95" w:type="dxa"/>
        <w:jc w:val="left"/>
        <w:tblInd w:w="166" w:type="dxa"/>
        <w:tblCellMar>
          <w:top w:w="0" w:type="dxa"/>
          <w:left w:w="0" w:type="dxa"/>
          <w:bottom w:w="28" w:type="dxa"/>
          <w:right w:w="0" w:type="dxa"/>
        </w:tblCellMar>
      </w:tblPr>
      <w:tblGrid>
        <w:gridCol w:w="3846"/>
        <w:gridCol w:w="3751"/>
        <w:gridCol w:w="2098"/>
      </w:tblGrid>
      <w:tr>
        <w:trPr/>
        <w:tc>
          <w:tcPr>
            <w:tcW w:w="9695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Style24"/>
              <w:spacing w:before="0" w:after="0"/>
              <w:ind w:left="0" w:right="0" w:firstLine="539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 1. О1 - Многофункциональная общественно-деловая зона</w:t>
            </w:r>
          </w:p>
          <w:p>
            <w:pPr>
              <w:pStyle w:val="Style24"/>
              <w:spacing w:before="0" w:after="0"/>
              <w:ind w:left="0" w:right="0" w:firstLine="5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Зона предназначена для размещения объектов государственного, делового, общественного и коммерческого назначения, коммунально-бытового обслуживания, торговли и общественного питания.</w:t>
            </w:r>
          </w:p>
          <w:p>
            <w:pPr>
              <w:pStyle w:val="Style24"/>
              <w:spacing w:before="0" w:after="0"/>
              <w:ind w:left="0" w:right="0" w:firstLine="5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Виды разрешенного использования земельных участков и объектов капитального строительства в данной зоне представлены в таблице ниже.</w:t>
            </w:r>
          </w:p>
        </w:tc>
      </w:tr>
      <w:tr>
        <w:trPr/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разрешенного использования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вида разрешенного использования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вида разрешенного использования</w:t>
            </w:r>
          </w:p>
        </w:tc>
      </w:tr>
      <w:tr>
        <w:trPr/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виды разрешенного использования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</w:tr>
      <w:tr>
        <w:trPr/>
        <w:tc>
          <w:tcPr>
            <w:tcW w:w="38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  <w:tr>
        <w:trPr/>
        <w:tc>
          <w:tcPr>
            <w:tcW w:w="38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дошкольное, начальное и среднее общее образование;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 культурно-досуговой деятельности;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парки культуры и отдыха;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3.6.2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общественное управление;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3.8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амбулаторное ветеринарное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3.10.1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деловое управление;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 торговли (торговые центры, торгово-развлекательные центры (комплексы);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рынки;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магазины;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банковская и страховая деятельность;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общественное питание;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гостиничное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развлекательные мероприятия;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4.8.1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выставочно-ярмарочная деятельность;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4.10</w:t>
            </w:r>
          </w:p>
        </w:tc>
      </w:tr>
      <w:tr>
        <w:trPr/>
        <w:tc>
          <w:tcPr>
            <w:tcW w:w="3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туристическое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внутреннего правопорядка;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земельные участки (территории) общего пользования.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</w:t>
            </w:r>
          </w:p>
        </w:tc>
      </w:tr>
      <w:tr>
        <w:trPr/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разрешенные виды использования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амбулаторно-поликлиническое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3.4.1</w:t>
            </w:r>
          </w:p>
        </w:tc>
      </w:tr>
      <w:tr>
        <w:trPr/>
        <w:tc>
          <w:tcPr>
            <w:tcW w:w="38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цирки и зверинцы;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3.6.3</w:t>
            </w:r>
          </w:p>
        </w:tc>
      </w:tr>
      <w:tr>
        <w:trPr/>
        <w:tc>
          <w:tcPr>
            <w:tcW w:w="38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3.9.1</w:t>
            </w:r>
          </w:p>
        </w:tc>
      </w:tr>
      <w:tr>
        <w:trPr/>
        <w:tc>
          <w:tcPr>
            <w:tcW w:w="38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ветеринарное обслуживание;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3.10</w:t>
            </w:r>
          </w:p>
        </w:tc>
      </w:tr>
      <w:tr>
        <w:trPr/>
        <w:tc>
          <w:tcPr>
            <w:tcW w:w="38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служебные гаражи;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</w:t>
            </w:r>
          </w:p>
        </w:tc>
      </w:tr>
      <w:tr>
        <w:trPr/>
        <w:tc>
          <w:tcPr>
            <w:tcW w:w="38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 дорожного сервиса;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4.9.1</w:t>
            </w:r>
          </w:p>
        </w:tc>
      </w:tr>
      <w:tr>
        <w:trPr/>
        <w:tc>
          <w:tcPr>
            <w:tcW w:w="384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</w:tr>
      <w:tr>
        <w:trPr/>
        <w:tc>
          <w:tcPr>
            <w:tcW w:w="3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Вспомогательные виды разрешенного использования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коммунальных услуг.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3.1.1</w:t>
            </w:r>
          </w:p>
        </w:tc>
      </w:tr>
      <w:tr>
        <w:trPr/>
        <w:tc>
          <w:tcPr>
            <w:tcW w:w="9695" w:type="dxa"/>
            <w:gridSpan w:val="3"/>
            <w:tcBorders>
              <w:top w:val="single" w:sz="4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4"/>
              <w:spacing w:before="0" w:after="0"/>
              <w:ind w:left="0" w:right="0" w:firstLine="5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принимаются в соответствии со статьей 36 настоящих Правил.</w:t>
            </w:r>
          </w:p>
        </w:tc>
      </w:tr>
    </w:tbl>
    <w:p>
      <w:pPr>
        <w:pStyle w:val="Normal"/>
        <w:widowControl w:val="false"/>
        <w:suppressAutoHyphens w:val="false"/>
        <w:ind w:left="0" w:right="0" w:firstLine="539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208" w:type="dxa"/>
        <w:tblCellMar>
          <w:top w:w="0" w:type="dxa"/>
          <w:left w:w="0" w:type="dxa"/>
          <w:bottom w:w="28" w:type="dxa"/>
          <w:right w:w="0" w:type="dxa"/>
        </w:tblCellMar>
      </w:tblPr>
      <w:tblGrid>
        <w:gridCol w:w="3008"/>
        <w:gridCol w:w="4590"/>
        <w:gridCol w:w="2040"/>
      </w:tblGrid>
      <w:tr>
        <w:trPr/>
        <w:tc>
          <w:tcPr>
            <w:tcW w:w="9638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Style24"/>
              <w:spacing w:before="0" w:after="0"/>
              <w:ind w:left="0" w:right="0" w:firstLine="539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О2 - Зона специализированной общественной застройки</w:t>
            </w:r>
          </w:p>
          <w:p>
            <w:pPr>
              <w:pStyle w:val="Style24"/>
              <w:spacing w:before="0" w:after="0"/>
              <w:ind w:left="0" w:right="0" w:firstLine="5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Зона предназначена для размещения объектов здравоохранения, образования, культуры, спорта, культовых объектов.</w:t>
            </w:r>
          </w:p>
          <w:p>
            <w:pPr>
              <w:pStyle w:val="Style24"/>
              <w:spacing w:before="0" w:after="0"/>
              <w:ind w:left="0" w:right="0"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Виды разрешенного использования земельных участков и объектов капитального строительства в данной зоне представлены в таблице ниже.</w:t>
            </w:r>
          </w:p>
        </w:tc>
      </w:tr>
      <w:tr>
        <w:trPr/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разрешенного использования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вида разрешенного использования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вида разрешенного использования</w:t>
            </w:r>
          </w:p>
        </w:tc>
      </w:tr>
      <w:tr>
        <w:trPr/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виды разрешенного использования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амбулаторно-поликлиническое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3.4.1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стационарное медицинское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3.4.2</w:t>
            </w:r>
          </w:p>
        </w:tc>
      </w:tr>
      <w:tr>
        <w:trPr/>
        <w:tc>
          <w:tcPr>
            <w:tcW w:w="3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дошкольное, начальное и среднее общее образование;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3.5.1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среднее и высшее профессиональное образование;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3.5.2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культурное развитие;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религиозное использование;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общественное управление;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3.8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научной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3.9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амбулаторное ветеринарное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3.10.1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банковская и страховая деятельность;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внутреннего правопорядка;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историко-культурная деятельность;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9.3</w:t>
            </w:r>
          </w:p>
        </w:tc>
      </w:tr>
      <w:tr>
        <w:trPr/>
        <w:tc>
          <w:tcPr>
            <w:tcW w:w="3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земельные участки (территории) общего пользования.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</w:t>
            </w:r>
          </w:p>
        </w:tc>
      </w:tr>
      <w:tr>
        <w:trPr/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разрешенные виды использования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цирки и зверинцы;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3.6.3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приюты для животных;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3.10.2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деловое управление;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магазины;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общественное питание;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гостиничное обслуживание;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служебные гаражи.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</w:t>
            </w:r>
          </w:p>
        </w:tc>
      </w:tr>
      <w:tr>
        <w:trPr/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Вспомогательные виды разрешенного использования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коммунальных услуг;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3.1.1</w:t>
            </w:r>
          </w:p>
        </w:tc>
      </w:tr>
      <w:tr>
        <w:trPr/>
        <w:tc>
          <w:tcPr>
            <w:tcW w:w="30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площадки для занятий спортом.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5.1.3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</w:tcBorders>
            <w:tcMar>
              <w:top w:w="28" w:type="dxa"/>
              <w:bottom w:w="0" w:type="dxa"/>
            </w:tcMar>
            <w:vAlign w:val="center"/>
          </w:tcPr>
          <w:p>
            <w:pPr>
              <w:pStyle w:val="Style24"/>
              <w:spacing w:before="0" w:after="0"/>
              <w:ind w:left="0" w:right="0" w:firstLine="5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принимаются в соответствии со статьей 36 настоящих Правил.</w:t>
            </w:r>
          </w:p>
        </w:tc>
      </w:tr>
    </w:tbl>
    <w:p>
      <w:pPr>
        <w:pStyle w:val="Normal"/>
        <w:widowControl w:val="false"/>
        <w:suppressAutoHyphens w:val="false"/>
        <w:ind w:left="0" w:right="0" w:firstLine="539"/>
        <w:jc w:val="righ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».</w:t>
      </w:r>
    </w:p>
    <w:sectPr>
      <w:headerReference w:type="default" r:id="rId2"/>
      <w:type w:val="nextPage"/>
      <w:pgSz w:w="11906" w:h="16838"/>
      <w:pgMar w:left="1417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3</w:t>
    </w:r>
    <w:r>
      <w:rPr>
        <w:sz w:val="28"/>
        <w:rFonts w:ascii="Times New Roman" w:hAnsi="Times New Roman"/>
      </w:rPr>
      <w:fldChar w:fldCharType="end"/>
    </w:r>
  </w:p>
  <w:p>
    <w:pPr>
      <w:pStyle w:val="Style21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sz w:val="20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1">
    <w:name w:val="Heading 1"/>
    <w:qFormat/>
    <w:pPr>
      <w:widowControl/>
      <w:suppressAutoHyphens w:val="true"/>
      <w:overflowPunct w:val="true"/>
      <w:bidi w:val="0"/>
      <w:spacing w:before="0" w:after="0"/>
      <w:jc w:val="left"/>
      <w:outlineLvl w:val="0"/>
    </w:pPr>
    <w:rPr>
      <w:rFonts w:ascii="Calibri" w:hAnsi="Calibri" w:eastAsia="Tahoma" w:cs="Noto Sans Devanagari"/>
      <w:b/>
      <w:color w:val="000000"/>
      <w:spacing w:val="-2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qFormat/>
    <w:pPr>
      <w:widowControl/>
      <w:suppressAutoHyphens w:val="true"/>
      <w:overflowPunct w:val="true"/>
      <w:bidi w:val="0"/>
      <w:spacing w:lineRule="auto" w:line="276" w:before="120" w:after="120"/>
      <w:jc w:val="left"/>
      <w:outlineLvl w:val="1"/>
    </w:pPr>
    <w:rPr>
      <w:rFonts w:ascii="XO Thames" w:hAnsi="XO Thames" w:eastAsia="Tahoma" w:cs="Noto Sans Devanagari"/>
      <w:b/>
      <w:color w:val="00A0FF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  <w:outlineLvl w:val="2"/>
    </w:pPr>
    <w:rPr>
      <w:rFonts w:ascii="XO Thames" w:hAnsi="XO Thames" w:eastAsia="Tahoma" w:cs="Noto Sans Devanagari"/>
      <w:b/>
      <w:i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qFormat/>
    <w:pPr>
      <w:widowControl/>
      <w:suppressAutoHyphens w:val="true"/>
      <w:overflowPunct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595959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qFormat/>
    <w:pPr>
      <w:widowControl/>
      <w:suppressAutoHyphens w:val="true"/>
      <w:overflowPunct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6">
    <w:name w:val="Heading 6"/>
    <w:basedOn w:val="Normal"/>
    <w:next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rPr>
      <w:rFonts w:ascii="Calibri" w:hAnsi="Calibri"/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basedOn w:val="11"/>
    <w:qFormat/>
    <w:rPr>
      <w:b/>
      <w:sz w:val="36"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ntents2">
    <w:name w:val="Contents 2"/>
    <w:qFormat/>
    <w:rPr/>
  </w:style>
  <w:style w:type="character" w:styleId="Style8">
    <w:name w:val="Верхний и нижний колонтитулы"/>
    <w:qFormat/>
    <w:rPr>
      <w:rFonts w:ascii="XO Thames" w:hAnsi="XO Thames"/>
      <w:sz w:val="20"/>
    </w:rPr>
  </w:style>
  <w:style w:type="character" w:styleId="Contents4">
    <w:name w:val="Contents 4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11">
    <w:name w:val="Название объекта1"/>
    <w:qFormat/>
    <w:rPr>
      <w:b/>
      <w:sz w:val="36"/>
    </w:rPr>
  </w:style>
  <w:style w:type="character" w:styleId="Footnote">
    <w:name w:val="Footnote"/>
    <w:qFormat/>
    <w:rPr>
      <w:rFonts w:ascii="XO Thames" w:hAnsi="XO Thames"/>
    </w:rPr>
  </w:style>
  <w:style w:type="character" w:styleId="12">
    <w:name w:val="Основной шрифт абзаца1"/>
    <w:qFormat/>
    <w:rPr/>
  </w:style>
  <w:style w:type="character" w:styleId="31">
    <w:name w:val="Заголовок 31"/>
    <w:qFormat/>
    <w:rPr>
      <w:rFonts w:ascii="XO Thames" w:hAnsi="XO Thames"/>
      <w:b/>
      <w:i/>
    </w:rPr>
  </w:style>
  <w:style w:type="character" w:styleId="13">
    <w:name w:val="Заголовок1"/>
    <w:qFormat/>
    <w:rPr>
      <w:rFonts w:ascii="Liberation Sans" w:hAnsi="Liberation Sans"/>
      <w:sz w:val="28"/>
    </w:rPr>
  </w:style>
  <w:style w:type="character" w:styleId="Textbody">
    <w:name w:val="Text body"/>
    <w:qFormat/>
    <w:rPr/>
  </w:style>
  <w:style w:type="character" w:styleId="14">
    <w:name w:val="Текст выноски1"/>
    <w:qFormat/>
    <w:rPr>
      <w:rFonts w:ascii="Tahoma" w:hAnsi="Tahoma"/>
      <w:sz w:val="16"/>
    </w:rPr>
  </w:style>
  <w:style w:type="character" w:styleId="Contents5">
    <w:name w:val="Contents 5"/>
    <w:qFormat/>
    <w:rPr/>
  </w:style>
  <w:style w:type="character" w:styleId="Contents8">
    <w:name w:val="Contents 8"/>
    <w:qFormat/>
    <w:rPr/>
  </w:style>
  <w:style w:type="character" w:styleId="21">
    <w:name w:val="Основной шрифт абзаца2"/>
    <w:qFormat/>
    <w:rPr/>
  </w:style>
  <w:style w:type="character" w:styleId="ConsPlusNormal">
    <w:name w:val="ConsPlusNormal"/>
    <w:qFormat/>
    <w:rPr>
      <w:rFonts w:ascii="Arial" w:hAnsi="Arial"/>
      <w:sz w:val="20"/>
    </w:rPr>
  </w:style>
  <w:style w:type="character" w:styleId="15">
    <w:name w:val="Нижний колонтитул1"/>
    <w:qFormat/>
    <w:rPr/>
  </w:style>
  <w:style w:type="character" w:styleId="16">
    <w:name w:val="Гиперссылка1"/>
    <w:qFormat/>
    <w:rPr>
      <w:rFonts w:ascii="Calibri" w:hAnsi="Calibri"/>
      <w:color w:val="0000FF"/>
      <w:u w:val="single"/>
    </w:rPr>
  </w:style>
  <w:style w:type="character" w:styleId="Contents3">
    <w:name w:val="Contents 3"/>
    <w:qFormat/>
    <w:rPr/>
  </w:style>
  <w:style w:type="character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211">
    <w:name w:val="Основной текст 21"/>
    <w:qFormat/>
    <w:rPr>
      <w:sz w:val="28"/>
    </w:rPr>
  </w:style>
  <w:style w:type="character" w:styleId="18">
    <w:name w:val="Верхний колонтитул1"/>
    <w:qFormat/>
    <w:rPr/>
  </w:style>
  <w:style w:type="character" w:styleId="51">
    <w:name w:val="Заголовок 51"/>
    <w:qFormat/>
    <w:rPr>
      <w:rFonts w:ascii="XO Thames" w:hAnsi="XO Thames"/>
      <w:b/>
    </w:rPr>
  </w:style>
  <w:style w:type="character" w:styleId="111">
    <w:name w:val="Заголовок 11"/>
    <w:qFormat/>
    <w:rPr>
      <w:b/>
      <w:spacing w:val="-20"/>
      <w:sz w:val="32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Contents9">
    <w:name w:val="Contents 9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19">
    <w:name w:val="Указатель1"/>
    <w:qFormat/>
    <w:rPr/>
  </w:style>
  <w:style w:type="character" w:styleId="110">
    <w:name w:val="Список1"/>
    <w:basedOn w:val="Textbody"/>
    <w:qFormat/>
    <w:rPr/>
  </w:style>
  <w:style w:type="character" w:styleId="112">
    <w:name w:val="Абзац списка1"/>
    <w:qFormat/>
    <w:rPr/>
  </w:style>
  <w:style w:type="character" w:styleId="Toc10">
    <w:name w:val="toc 10"/>
    <w:qFormat/>
    <w:rPr/>
  </w:style>
  <w:style w:type="character" w:styleId="113">
    <w:name w:val="Подзаголовок1"/>
    <w:qFormat/>
    <w:rPr>
      <w:rFonts w:ascii="XO Thames" w:hAnsi="XO Thames"/>
      <w:i/>
      <w:color w:val="616161"/>
      <w:sz w:val="24"/>
    </w:rPr>
  </w:style>
  <w:style w:type="character" w:styleId="ConsPlusNormal1">
    <w:name w:val="ConsPlusNormal Знак"/>
    <w:qFormat/>
    <w:rPr>
      <w:rFonts w:ascii="Arial" w:hAnsi="Arial"/>
      <w:sz w:val="20"/>
    </w:rPr>
  </w:style>
  <w:style w:type="character" w:styleId="22">
    <w:name w:val="Заголовок2"/>
    <w:qFormat/>
    <w:rPr>
      <w:rFonts w:ascii="XO Thames" w:hAnsi="XO Thames"/>
      <w:b/>
      <w:sz w:val="52"/>
    </w:rPr>
  </w:style>
  <w:style w:type="character" w:styleId="41">
    <w:name w:val="Заголовок 41"/>
    <w:qFormat/>
    <w:rPr>
      <w:rFonts w:ascii="XO Thames" w:hAnsi="XO Thames"/>
      <w:b/>
      <w:color w:val="595959"/>
      <w:sz w:val="26"/>
    </w:rPr>
  </w:style>
  <w:style w:type="character" w:styleId="212">
    <w:name w:val="Заголовок 21"/>
    <w:qFormat/>
    <w:rPr>
      <w:rFonts w:ascii="XO Thames" w:hAnsi="XO Thames"/>
      <w:b/>
      <w:color w:val="00A0FF"/>
      <w:sz w:val="26"/>
    </w:rPr>
  </w:style>
  <w:style w:type="character" w:styleId="52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9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14">
    <w:name w:val="Основной текст1"/>
    <w:basedOn w:val="Style9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1"/>
    <w:pPr/>
    <w:rPr/>
  </w:style>
  <w:style w:type="paragraph" w:styleId="Style14">
    <w:name w:val="Capt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b/>
      <w:color w:val="000000"/>
      <w:kern w:val="0"/>
      <w:sz w:val="36"/>
      <w:szCs w:val="20"/>
      <w:lang w:val="ru-RU" w:eastAsia="zh-CN" w:bidi="hi-IN"/>
    </w:rPr>
  </w:style>
  <w:style w:type="paragraph" w:styleId="Style1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16">
    <w:name w:val="Title"/>
    <w:next w:val="Style12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52"/>
      <w:szCs w:val="20"/>
      <w:lang w:val="ru-RU" w:eastAsia="zh-CN" w:bidi="hi-IN"/>
    </w:rPr>
  </w:style>
  <w:style w:type="paragraph" w:styleId="Indexheading">
    <w:name w:val="index head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Style17">
    <w:name w:val="Footnote Text"/>
    <w:basedOn w:val="Normal"/>
    <w:pPr>
      <w:spacing w:before="0" w:after="40"/>
    </w:pPr>
    <w:rPr>
      <w:sz w:val="18"/>
    </w:rPr>
  </w:style>
  <w:style w:type="paragraph" w:styleId="Style18">
    <w:name w:val="Endnote Text"/>
    <w:basedOn w:val="Normal"/>
    <w:pPr/>
    <w:rPr>
      <w:sz w:val="20"/>
    </w:rPr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23">
    <w:name w:val="TOC 2"/>
    <w:next w:val="Normal"/>
    <w:pPr>
      <w:widowControl/>
      <w:suppressAutoHyphens w:val="true"/>
      <w:overflowPunct w:val="true"/>
      <w:bidi w:val="0"/>
      <w:spacing w:lineRule="auto" w:line="276" w:before="0" w:after="200"/>
      <w:ind w:left="2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19">
    <w:name w:val="Верхний и нижний колонтитулы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42">
    <w:name w:val="TOC 4"/>
    <w:next w:val="Normal"/>
    <w:pPr>
      <w:widowControl/>
      <w:suppressAutoHyphens w:val="true"/>
      <w:overflowPunct w:val="true"/>
      <w:bidi w:val="0"/>
      <w:spacing w:lineRule="auto" w:line="276" w:before="0" w:after="200"/>
      <w:ind w:left="6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61">
    <w:name w:val="TOC 6"/>
    <w:next w:val="Normal"/>
    <w:pPr>
      <w:widowControl/>
      <w:suppressAutoHyphens w:val="true"/>
      <w:overflowPunct w:val="true"/>
      <w:bidi w:val="0"/>
      <w:spacing w:lineRule="auto" w:line="276" w:before="0" w:after="200"/>
      <w:ind w:left="10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32">
    <w:name w:val="Основной шрифт абзаца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71">
    <w:name w:val="TOC 7"/>
    <w:next w:val="Normal"/>
    <w:pPr>
      <w:widowControl/>
      <w:suppressAutoHyphens w:val="true"/>
      <w:overflowPunct w:val="true"/>
      <w:bidi w:val="0"/>
      <w:spacing w:lineRule="auto" w:line="276" w:before="0" w:after="200"/>
      <w:ind w:left="12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Footnote1">
    <w:name w:val="Footno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115">
    <w:name w:val="Основной шрифт абзац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BalloonText">
    <w:name w:val="Balloon Tex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Tahoma" w:cs="Noto Sans Devanagari"/>
      <w:color w:val="000000"/>
      <w:kern w:val="0"/>
      <w:sz w:val="16"/>
      <w:szCs w:val="20"/>
      <w:lang w:val="ru-RU" w:eastAsia="zh-CN" w:bidi="hi-IN"/>
    </w:rPr>
  </w:style>
  <w:style w:type="paragraph" w:styleId="Contents51">
    <w:name w:val="Contents 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71">
    <w:name w:val="Contents 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Textbody1">
    <w:name w:val="Text body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61">
    <w:name w:val="Contents 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81">
    <w:name w:val="Contents 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24">
    <w:name w:val="Основной шрифт абзаца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sPlusNormal2">
    <w:name w:val="ConsPlus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21">
    <w:name w:val="Contents 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41">
    <w:name w:val="Contents 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20">
    <w:name w:val="Footer"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116">
    <w:name w:val="Гиперссылка1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6"/>
      <w:szCs w:val="20"/>
      <w:u w:val="single"/>
      <w:lang w:val="ru-RU" w:eastAsia="zh-CN" w:bidi="hi-IN"/>
    </w:rPr>
  </w:style>
  <w:style w:type="paragraph" w:styleId="33">
    <w:name w:val="TOC 3"/>
    <w:next w:val="Normal"/>
    <w:pPr>
      <w:widowControl/>
      <w:suppressAutoHyphens w:val="true"/>
      <w:overflowPunct w:val="true"/>
      <w:bidi w:val="0"/>
      <w:spacing w:lineRule="auto" w:line="276" w:before="0" w:after="200"/>
      <w:ind w:left="4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117">
    <w:name w:val="Обычный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31">
    <w:name w:val="Contents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21">
    <w:name w:val="Header"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22">
    <w:name w:val="Интернет-ссылк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6"/>
      <w:szCs w:val="20"/>
      <w:u w:val="single"/>
      <w:lang w:val="ru-RU" w:eastAsia="zh-CN" w:bidi="hi-IN"/>
    </w:rPr>
  </w:style>
  <w:style w:type="paragraph" w:styleId="25">
    <w:name w:val="Гиперссылка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6"/>
      <w:szCs w:val="20"/>
      <w:u w:val="single"/>
      <w:lang w:val="ru-RU" w:eastAsia="zh-CN" w:bidi="hi-IN"/>
    </w:rPr>
  </w:style>
  <w:style w:type="paragraph" w:styleId="118">
    <w:name w:val="TOC 1"/>
    <w:next w:val="Normal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Contents91">
    <w:name w:val="Contents 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91">
    <w:name w:val="TOC 9"/>
    <w:next w:val="Normal"/>
    <w:pPr>
      <w:widowControl/>
      <w:suppressAutoHyphens w:val="true"/>
      <w:overflowPunct w:val="true"/>
      <w:bidi w:val="0"/>
      <w:spacing w:lineRule="auto" w:line="276" w:before="0" w:after="200"/>
      <w:ind w:left="16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81">
    <w:name w:val="TOC 8"/>
    <w:next w:val="Normal"/>
    <w:pPr>
      <w:widowControl/>
      <w:suppressAutoHyphens w:val="true"/>
      <w:overflowPunct w:val="true"/>
      <w:bidi w:val="0"/>
      <w:spacing w:lineRule="auto" w:line="276" w:before="0" w:after="200"/>
      <w:ind w:left="14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Contents11">
    <w:name w:val="Contents 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53">
    <w:name w:val="TOC 5"/>
    <w:next w:val="Normal"/>
    <w:pPr>
      <w:widowControl/>
      <w:suppressAutoHyphens w:val="true"/>
      <w:overflowPunct w:val="true"/>
      <w:bidi w:val="0"/>
      <w:spacing w:lineRule="auto" w:line="276" w:before="0" w:after="200"/>
      <w:ind w:left="8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Toc101">
    <w:name w:val="toc 10"/>
    <w:next w:val="Normal"/>
    <w:qFormat/>
    <w:pPr>
      <w:widowControl/>
      <w:suppressAutoHyphens w:val="true"/>
      <w:overflowPunct w:val="true"/>
      <w:bidi w:val="0"/>
      <w:spacing w:lineRule="auto" w:line="276" w:before="0" w:after="200"/>
      <w:ind w:left="1800" w:right="0" w:hanging="0"/>
      <w:jc w:val="left"/>
    </w:pPr>
    <w:rPr>
      <w:rFonts w:ascii="Calibri" w:hAnsi="Calibri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23">
    <w:name w:val="Subtitl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XO Thames" w:hAnsi="XO Thames" w:eastAsia="Tahoma" w:cs="Noto Sans Devanagari"/>
      <w:i/>
      <w:color w:val="616161"/>
      <w:kern w:val="0"/>
      <w:sz w:val="24"/>
      <w:szCs w:val="20"/>
      <w:lang w:val="ru-RU" w:eastAsia="zh-CN" w:bidi="hi-IN"/>
    </w:rPr>
  </w:style>
  <w:style w:type="paragraph" w:styleId="ConsPlusNormal3">
    <w:name w:val="ConsPlusNormal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Noto Sans Devanagari"/>
      <w:color w:val="000000"/>
      <w:kern w:val="0"/>
      <w:sz w:val="26"/>
      <w:szCs w:val="20"/>
      <w:lang w:val="ru-RU" w:eastAsia="zh-CN" w:bidi="hi-IN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FORMATTEXT">
    <w:name w:val=".FORMATTEX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Application>LibreOffice/6.4.4.2$Linux_X86_64 LibreOffice_project/40$Build-2</Application>
  <Pages>3</Pages>
  <Words>399</Words>
  <Characters>3249</Characters>
  <CharactersWithSpaces>3557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2022-08-23T14:35:00Z</dcterms:created>
  <dc:creator/>
  <dc:description/>
  <dc:language>ru-RU</dc:language>
  <cp:lastModifiedBy/>
  <cp:lastPrinted>2024-03-26T11:20:39Z</cp:lastPrinted>
  <dcterms:modified xsi:type="dcterms:W3CDTF">2024-03-26T11:21:28Z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