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AF2" w:rsidRDefault="00C37A7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AF2" w:rsidRDefault="00C37A7E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15AF2" w:rsidRDefault="00C37A7E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15AF2" w:rsidRDefault="00015AF2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015AF2" w:rsidRDefault="00015AF2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015AF2" w:rsidRDefault="00C37A7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15AF2" w:rsidRDefault="00015AF2">
      <w:pPr>
        <w:tabs>
          <w:tab w:val="left" w:pos="709"/>
        </w:tabs>
        <w:jc w:val="center"/>
        <w:rPr>
          <w:sz w:val="28"/>
        </w:rPr>
      </w:pPr>
    </w:p>
    <w:p w:rsidR="00015AF2" w:rsidRDefault="00015AF2">
      <w:pPr>
        <w:tabs>
          <w:tab w:val="left" w:pos="709"/>
        </w:tabs>
        <w:jc w:val="center"/>
        <w:rPr>
          <w:sz w:val="28"/>
        </w:rPr>
      </w:pPr>
    </w:p>
    <w:p w:rsidR="00015AF2" w:rsidRDefault="00200E13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08 апреля </w:t>
      </w:r>
      <w:r w:rsidR="00C37A7E">
        <w:rPr>
          <w:sz w:val="28"/>
        </w:rPr>
        <w:t xml:space="preserve">2024 г.                                           </w:t>
      </w:r>
      <w:r>
        <w:rPr>
          <w:sz w:val="28"/>
        </w:rPr>
        <w:t xml:space="preserve">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№ 123-п</w:t>
      </w:r>
    </w:p>
    <w:p w:rsidR="00015AF2" w:rsidRDefault="00015AF2">
      <w:pPr>
        <w:tabs>
          <w:tab w:val="left" w:pos="709"/>
        </w:tabs>
        <w:jc w:val="both"/>
        <w:rPr>
          <w:sz w:val="28"/>
        </w:rPr>
      </w:pPr>
    </w:p>
    <w:p w:rsidR="00015AF2" w:rsidRDefault="00015AF2">
      <w:pPr>
        <w:tabs>
          <w:tab w:val="left" w:pos="709"/>
        </w:tabs>
        <w:jc w:val="both"/>
        <w:rPr>
          <w:sz w:val="28"/>
        </w:rPr>
      </w:pPr>
    </w:p>
    <w:p w:rsidR="00015AF2" w:rsidRDefault="00C37A7E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Об утверждении изменений в 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Рыбновское </w:t>
      </w:r>
      <w:r>
        <w:rPr>
          <w:rFonts w:ascii="Times New Roman" w:hAnsi="Times New Roman"/>
          <w:color w:val="auto"/>
          <w:sz w:val="28"/>
          <w:szCs w:val="28"/>
        </w:rPr>
        <w:t>городское поселение Рыбновского муниципального района</w:t>
      </w:r>
    </w:p>
    <w:p w:rsidR="00015AF2" w:rsidRDefault="00C37A7E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Рязанской области</w:t>
      </w:r>
    </w:p>
    <w:p w:rsidR="00015AF2" w:rsidRDefault="00015AF2">
      <w:pPr>
        <w:tabs>
          <w:tab w:val="left" w:pos="709"/>
        </w:tabs>
        <w:jc w:val="center"/>
        <w:rPr>
          <w:color w:val="auto"/>
          <w:sz w:val="28"/>
        </w:rPr>
      </w:pPr>
    </w:p>
    <w:p w:rsidR="00015AF2" w:rsidRDefault="00C37A7E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</w:t>
      </w:r>
      <w:r>
        <w:rPr>
          <w:color w:val="auto"/>
          <w:sz w:val="28"/>
          <w:szCs w:val="28"/>
        </w:rPr>
        <w:t>й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</w:t>
      </w:r>
      <w:r>
        <w:rPr>
          <w:color w:val="auto"/>
          <w:sz w:val="28"/>
          <w:szCs w:val="28"/>
        </w:rPr>
        <w:t>язанской области», с учетом заключения о результатах общественных обсуждений                   о</w:t>
      </w:r>
      <w:r>
        <w:rPr>
          <w:color w:val="auto"/>
          <w:sz w:val="28"/>
          <w:szCs w:val="28"/>
        </w:rPr>
        <w:t xml:space="preserve">т </w:t>
      </w:r>
      <w:r>
        <w:rPr>
          <w:color w:val="auto"/>
          <w:sz w:val="28"/>
          <w:szCs w:val="28"/>
        </w:rPr>
        <w:t>15.12.2023</w:t>
      </w:r>
      <w:r>
        <w:rPr>
          <w:color w:val="auto"/>
          <w:sz w:val="28"/>
          <w:szCs w:val="28"/>
        </w:rPr>
        <w:t>, руководст</w:t>
      </w:r>
      <w:r>
        <w:rPr>
          <w:color w:val="auto"/>
          <w:sz w:val="28"/>
          <w:szCs w:val="28"/>
        </w:rPr>
        <w:t>вуясь постановление</w:t>
      </w:r>
      <w:bookmarkStart w:id="0" w:name="_GoBack"/>
      <w:bookmarkEnd w:id="0"/>
      <w:r>
        <w:rPr>
          <w:color w:val="auto"/>
          <w:sz w:val="28"/>
          <w:szCs w:val="28"/>
        </w:rPr>
        <w:t>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015AF2" w:rsidRDefault="00C37A7E">
      <w:pPr>
        <w:pStyle w:val="a9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Утвердить изменения в генеральный план муниципального образования – </w:t>
      </w:r>
      <w:r>
        <w:rPr>
          <w:color w:val="auto"/>
          <w:sz w:val="28"/>
          <w:szCs w:val="28"/>
        </w:rPr>
        <w:t xml:space="preserve">Рыбновское </w:t>
      </w:r>
      <w:r>
        <w:rPr>
          <w:color w:val="auto"/>
          <w:sz w:val="28"/>
          <w:szCs w:val="28"/>
        </w:rPr>
        <w:t>городское поселение Рыбновского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утвержденный постановлением главного управления </w:t>
      </w:r>
      <w:r>
        <w:rPr>
          <w:color w:val="auto"/>
          <w:sz w:val="28"/>
          <w:szCs w:val="28"/>
        </w:rPr>
        <w:t xml:space="preserve">архитектуры и градостроительства Рязанской области от </w:t>
      </w:r>
      <w:r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5.05.2022</w:t>
      </w:r>
      <w:r>
        <w:rPr>
          <w:color w:val="auto"/>
          <w:sz w:val="28"/>
          <w:szCs w:val="28"/>
        </w:rPr>
        <w:t xml:space="preserve"> № 271-п</w:t>
      </w:r>
      <w:r>
        <w:rPr>
          <w:color w:val="auto"/>
          <w:sz w:val="28"/>
          <w:szCs w:val="28"/>
        </w:rPr>
        <w:br/>
        <w:t xml:space="preserve">«Об утверждении генерального плана муниципального образования – </w:t>
      </w:r>
      <w:r>
        <w:rPr>
          <w:color w:val="auto"/>
          <w:sz w:val="28"/>
          <w:szCs w:val="28"/>
        </w:rPr>
        <w:t xml:space="preserve">Рыбновское </w:t>
      </w:r>
      <w:r>
        <w:rPr>
          <w:color w:val="auto"/>
          <w:sz w:val="28"/>
          <w:szCs w:val="28"/>
        </w:rPr>
        <w:t>городское поселение Рыбновского</w:t>
      </w:r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>униципального района Рязанской области»</w:t>
      </w:r>
      <w:r>
        <w:rPr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  <w:highlight w:val="white"/>
        </w:rPr>
        <w:t>(</w:t>
      </w:r>
      <w:r>
        <w:rPr>
          <w:color w:val="auto"/>
          <w:sz w:val="28"/>
          <w:szCs w:val="28"/>
        </w:rPr>
        <w:t>в редакции постановлений Главархитектуры Рязанской области от 27.11.2023</w:t>
      </w:r>
      <w:r>
        <w:rPr>
          <w:color w:val="auto"/>
          <w:sz w:val="28"/>
          <w:szCs w:val="28"/>
        </w:rPr>
        <w:br/>
        <w:t>№ 568</w:t>
      </w:r>
      <w:r>
        <w:rPr>
          <w:color w:val="000000" w:themeColor="text1"/>
          <w:sz w:val="28"/>
          <w:szCs w:val="28"/>
        </w:rPr>
        <w:t>-п, от 15.1</w:t>
      </w:r>
      <w:r>
        <w:rPr>
          <w:color w:val="000000" w:themeColor="text1"/>
          <w:sz w:val="28"/>
          <w:szCs w:val="28"/>
        </w:rPr>
        <w:t>2.2023 № 598-п, от 17.01.2024 № 16-п</w:t>
      </w:r>
      <w:r>
        <w:rPr>
          <w:rFonts w:eastAsia="Times New Roman" w:cs="Times New Roman"/>
          <w:color w:val="000000" w:themeColor="text1"/>
          <w:sz w:val="28"/>
          <w:szCs w:val="28"/>
        </w:rPr>
        <w:t>, от 06.02.2024 № 42-п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>)</w:t>
      </w:r>
      <w:r>
        <w:rPr>
          <w:color w:val="000000" w:themeColor="text1"/>
          <w:sz w:val="28"/>
          <w:szCs w:val="28"/>
        </w:rPr>
        <w:t>:</w:t>
      </w:r>
    </w:p>
    <w:p w:rsidR="00015AF2" w:rsidRDefault="00C37A7E">
      <w:pPr>
        <w:widowControl w:val="0"/>
        <w:tabs>
          <w:tab w:val="left" w:pos="709"/>
        </w:tabs>
        <w:ind w:firstLine="709"/>
        <w:jc w:val="both"/>
      </w:pPr>
      <w:r>
        <w:rPr>
          <w:color w:val="000000" w:themeColor="text1"/>
          <w:sz w:val="28"/>
        </w:rPr>
        <w:t>1) в таблице, определяющей площади функциональных зон, пункта</w:t>
      </w:r>
      <w:r>
        <w:rPr>
          <w:color w:val="000000" w:themeColor="text1"/>
          <w:sz w:val="28"/>
        </w:rPr>
        <w:br/>
        <w:t>2 положения о территориальном планировании:</w:t>
      </w:r>
    </w:p>
    <w:p w:rsidR="00015AF2" w:rsidRDefault="00C37A7E">
      <w:pPr>
        <w:widowControl w:val="0"/>
        <w:tabs>
          <w:tab w:val="left" w:pos="709"/>
        </w:tabs>
        <w:ind w:firstLine="709"/>
        <w:jc w:val="both"/>
      </w:pPr>
      <w:r>
        <w:rPr>
          <w:color w:val="000000" w:themeColor="text1"/>
          <w:sz w:val="28"/>
        </w:rPr>
        <w:t>- цифры «</w:t>
      </w:r>
      <w:r>
        <w:rPr>
          <w:color w:val="000000" w:themeColor="text1"/>
          <w:sz w:val="28"/>
          <w:szCs w:val="28"/>
          <w:lang w:bidi="ru-RU"/>
        </w:rPr>
        <w:t>85,</w:t>
      </w:r>
      <w:r>
        <w:rPr>
          <w:color w:val="000000" w:themeColor="text1"/>
          <w:sz w:val="28"/>
          <w:szCs w:val="28"/>
          <w:lang w:bidi="ru-RU"/>
        </w:rPr>
        <w:t>11</w:t>
      </w:r>
      <w:r>
        <w:rPr>
          <w:color w:val="000000" w:themeColor="text1"/>
          <w:sz w:val="28"/>
          <w:szCs w:val="28"/>
          <w:lang w:bidi="ru-RU"/>
        </w:rPr>
        <w:t>» заменить цифрами «84,</w:t>
      </w:r>
      <w:r>
        <w:rPr>
          <w:color w:val="000000" w:themeColor="text1"/>
          <w:sz w:val="28"/>
          <w:szCs w:val="28"/>
          <w:lang w:bidi="ru-RU"/>
        </w:rPr>
        <w:t>71»</w:t>
      </w:r>
      <w:r>
        <w:rPr>
          <w:color w:val="000000" w:themeColor="text1"/>
          <w:sz w:val="28"/>
        </w:rPr>
        <w:t>;</w:t>
      </w:r>
    </w:p>
    <w:p w:rsidR="00015AF2" w:rsidRDefault="00C37A7E">
      <w:pPr>
        <w:widowControl w:val="0"/>
        <w:tabs>
          <w:tab w:val="left" w:pos="709"/>
        </w:tabs>
        <w:ind w:firstLine="709"/>
        <w:jc w:val="both"/>
      </w:pPr>
      <w:r>
        <w:rPr>
          <w:color w:val="000000" w:themeColor="text1"/>
          <w:sz w:val="28"/>
        </w:rPr>
        <w:t>- цифры «</w:t>
      </w:r>
      <w:r>
        <w:rPr>
          <w:color w:val="000000" w:themeColor="text1"/>
          <w:sz w:val="28"/>
          <w:szCs w:val="28"/>
          <w:lang w:bidi="ru-RU"/>
        </w:rPr>
        <w:t>24,25» заменить цифрами «</w:t>
      </w:r>
      <w:r>
        <w:rPr>
          <w:color w:val="000000" w:themeColor="text1"/>
          <w:sz w:val="28"/>
          <w:szCs w:val="28"/>
          <w:lang w:bidi="ru-RU"/>
        </w:rPr>
        <w:t>24,65»</w:t>
      </w:r>
      <w:r>
        <w:rPr>
          <w:color w:val="000000" w:themeColor="text1"/>
          <w:sz w:val="28"/>
        </w:rPr>
        <w:t>;</w:t>
      </w:r>
    </w:p>
    <w:p w:rsidR="00015AF2" w:rsidRDefault="00C37A7E">
      <w:pPr>
        <w:pStyle w:val="a9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color w:val="000000" w:themeColor="text1"/>
          <w:sz w:val="28"/>
          <w:szCs w:val="27"/>
        </w:rPr>
        <w:t>в приложении № 2 согласно приложению № 1 к настоящему постановлению;</w:t>
      </w:r>
    </w:p>
    <w:p w:rsidR="00015AF2" w:rsidRDefault="00C37A7E">
      <w:pPr>
        <w:pStyle w:val="a9"/>
        <w:widowControl w:val="0"/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8"/>
        </w:rPr>
        <w:t xml:space="preserve">3) </w:t>
      </w:r>
      <w:r>
        <w:rPr>
          <w:color w:val="000000" w:themeColor="text1"/>
          <w:sz w:val="28"/>
          <w:szCs w:val="27"/>
        </w:rPr>
        <w:t xml:space="preserve">в приложении № 3 согласно приложению № 2 к настоящему </w:t>
      </w:r>
      <w:r>
        <w:rPr>
          <w:color w:val="000000" w:themeColor="text1"/>
          <w:sz w:val="28"/>
          <w:szCs w:val="27"/>
        </w:rPr>
        <w:lastRenderedPageBreak/>
        <w:t>постановлению</w:t>
      </w:r>
      <w:r>
        <w:rPr>
          <w:color w:val="000000" w:themeColor="text1"/>
          <w:sz w:val="28"/>
          <w:szCs w:val="28"/>
        </w:rPr>
        <w:t>.</w:t>
      </w:r>
    </w:p>
    <w:p w:rsidR="00015AF2" w:rsidRDefault="00C37A7E">
      <w:pPr>
        <w:pStyle w:val="a9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before="57" w:after="57" w:line="240" w:lineRule="auto"/>
        <w:ind w:left="0" w:firstLine="709"/>
        <w:jc w:val="both"/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15AF2" w:rsidRDefault="00C37A7E">
      <w:pPr>
        <w:pStyle w:val="a9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</w:pPr>
      <w:r>
        <w:rPr>
          <w:color w:val="000000" w:themeColor="text1"/>
          <w:sz w:val="28"/>
          <w:szCs w:val="28"/>
        </w:rPr>
        <w:t>Государственному казенному учреждени</w:t>
      </w:r>
      <w:r>
        <w:rPr>
          <w:color w:val="000000" w:themeColor="text1"/>
          <w:sz w:val="28"/>
          <w:szCs w:val="28"/>
        </w:rPr>
        <w:t>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генеральный план муниципального образования – </w:t>
      </w:r>
      <w:r>
        <w:rPr>
          <w:color w:val="000000" w:themeColor="text1"/>
          <w:sz w:val="28"/>
          <w:szCs w:val="28"/>
        </w:rPr>
        <w:t xml:space="preserve">Рыбновское </w:t>
      </w:r>
      <w:r>
        <w:rPr>
          <w:color w:val="000000" w:themeColor="text1"/>
          <w:sz w:val="28"/>
          <w:szCs w:val="28"/>
        </w:rPr>
        <w:t>городское поселение Рыбновского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  <w:r>
        <w:rPr>
          <w:color w:val="000000" w:themeColor="text1"/>
          <w:sz w:val="28"/>
          <w:szCs w:val="28"/>
        </w:rPr>
        <w:br/>
        <w:t>в федера</w:t>
      </w:r>
      <w:r>
        <w:rPr>
          <w:color w:val="000000" w:themeColor="text1"/>
          <w:sz w:val="28"/>
          <w:szCs w:val="28"/>
        </w:rPr>
        <w:t>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015AF2" w:rsidRDefault="00C37A7E">
      <w:pPr>
        <w:pStyle w:val="a9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</w:pPr>
      <w:r>
        <w:rPr>
          <w:color w:val="000000" w:themeColor="text1"/>
          <w:sz w:val="28"/>
          <w:szCs w:val="28"/>
        </w:rPr>
        <w:t>Отде</w:t>
      </w:r>
      <w:r>
        <w:rPr>
          <w:color w:val="000000" w:themeColor="text1"/>
          <w:sz w:val="28"/>
          <w:szCs w:val="28"/>
        </w:rPr>
        <w:t>лу кадровой работы и делопроизводства обеспечить:</w:t>
      </w:r>
    </w:p>
    <w:p w:rsidR="00015AF2" w:rsidRDefault="00C37A7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015AF2" w:rsidRDefault="00C37A7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 «Рязанс</w:t>
      </w:r>
      <w:r>
        <w:rPr>
          <w:rFonts w:ascii="Times New Roman" w:hAnsi="Times New Roman"/>
          <w:color w:val="000000" w:themeColor="text1"/>
          <w:sz w:val="28"/>
          <w:szCs w:val="28"/>
        </w:rPr>
        <w:t>кие ведомости» (www.rv-ryazan.ru) и на официальном интернет-портале правовой информации (www.pravo.gov.ru).</w:t>
      </w:r>
    </w:p>
    <w:p w:rsidR="00015AF2" w:rsidRDefault="00C37A7E">
      <w:pPr>
        <w:pStyle w:val="a9"/>
        <w:widowControl w:val="0"/>
        <w:numPr>
          <w:ilvl w:val="0"/>
          <w:numId w:val="26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</w:t>
      </w:r>
      <w:r>
        <w:rPr>
          <w:color w:val="000000" w:themeColor="text1"/>
          <w:sz w:val="28"/>
          <w:szCs w:val="28"/>
        </w:rPr>
        <w:t>ктуры и градостроительства Рязанской области                 в сети «Интернет».</w:t>
      </w:r>
    </w:p>
    <w:p w:rsidR="00015AF2" w:rsidRDefault="00C37A7E">
      <w:pPr>
        <w:pStyle w:val="a9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Рыбновский муниципальный район Рязанской области, главе муниципального образования – </w:t>
      </w:r>
      <w:r>
        <w:rPr>
          <w:color w:val="000000" w:themeColor="text1"/>
          <w:sz w:val="28"/>
          <w:szCs w:val="28"/>
        </w:rPr>
        <w:t xml:space="preserve">Рыбновское </w:t>
      </w:r>
      <w:r>
        <w:rPr>
          <w:color w:val="000000" w:themeColor="text1"/>
          <w:sz w:val="28"/>
          <w:szCs w:val="28"/>
        </w:rPr>
        <w:t>городское поселение Рыбновского</w:t>
      </w:r>
      <w:r>
        <w:rPr>
          <w:color w:val="000000" w:themeColor="text1"/>
          <w:sz w:val="28"/>
          <w:szCs w:val="28"/>
        </w:rPr>
        <w:t xml:space="preserve"> му</w:t>
      </w:r>
      <w:r>
        <w:rPr>
          <w:color w:val="000000" w:themeColor="text1"/>
          <w:sz w:val="28"/>
          <w:szCs w:val="28"/>
        </w:rPr>
        <w:t>ниципального района Рязанской области 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</w:r>
    </w:p>
    <w:p w:rsidR="00015AF2" w:rsidRDefault="00C37A7E">
      <w:pPr>
        <w:pStyle w:val="a9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</w:t>
      </w:r>
      <w:r>
        <w:rPr>
          <w:rFonts w:eastAsia="NSimSun" w:cs="Arial"/>
          <w:color w:val="000000" w:themeColor="text1"/>
          <w:sz w:val="28"/>
          <w:szCs w:val="28"/>
        </w:rPr>
        <w:t xml:space="preserve">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015AF2" w:rsidRDefault="00015AF2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015AF2" w:rsidRDefault="00015AF2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015AF2" w:rsidRDefault="00C37A7E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015AF2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A7E" w:rsidRDefault="00C37A7E">
      <w:pPr>
        <w:pStyle w:val="30"/>
      </w:pPr>
      <w:r>
        <w:separator/>
      </w:r>
    </w:p>
  </w:endnote>
  <w:endnote w:type="continuationSeparator" w:id="0">
    <w:p w:rsidR="00C37A7E" w:rsidRDefault="00C37A7E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A7E" w:rsidRDefault="00C37A7E">
      <w:pPr>
        <w:pStyle w:val="30"/>
      </w:pPr>
      <w:r>
        <w:separator/>
      </w:r>
    </w:p>
  </w:footnote>
  <w:footnote w:type="continuationSeparator" w:id="0">
    <w:p w:rsidR="00C37A7E" w:rsidRDefault="00C37A7E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AF2" w:rsidRDefault="00C37A7E">
    <w:pPr>
      <w:pStyle w:val="af5"/>
      <w:jc w:val="center"/>
      <w:rPr>
        <w:rFonts w:ascii="Times New Roman" w:eastAsia="Times New Roman" w:hAnsi="Times New Roman" w:cs="Times New Roman"/>
        <w:sz w:val="28"/>
      </w:rPr>
    </w:pPr>
    <w:r>
      <w:fldChar w:fldCharType="begin"/>
    </w:r>
    <w:r>
      <w:instrText>PAGE \* MERGEFORMAT</w:instrText>
    </w:r>
    <w:r>
      <w:fldChar w:fldCharType="separate"/>
    </w:r>
    <w:r w:rsidR="00200E13" w:rsidRPr="00200E13">
      <w:rPr>
        <w:rFonts w:ascii="Times New Roman" w:eastAsia="Times New Roman" w:hAnsi="Times New Roman" w:cs="Times New Roman"/>
        <w:noProof/>
        <w:sz w:val="28"/>
      </w:rPr>
      <w:t>2</w:t>
    </w:r>
    <w:r>
      <w:rPr>
        <w:rFonts w:ascii="Times New Roman" w:eastAsia="Times New Roman" w:hAnsi="Times New Roman" w:cs="Times New Roman"/>
        <w:sz w:val="28"/>
      </w:rPr>
      <w:fldChar w:fldCharType="end"/>
    </w:r>
  </w:p>
  <w:p w:rsidR="00015AF2" w:rsidRDefault="00015AF2">
    <w:pPr>
      <w:pStyle w:val="af5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188"/>
    <w:multiLevelType w:val="multilevel"/>
    <w:tmpl w:val="229282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3260406"/>
    <w:multiLevelType w:val="multilevel"/>
    <w:tmpl w:val="1B36298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5140309"/>
    <w:multiLevelType w:val="multilevel"/>
    <w:tmpl w:val="3A60FE2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05BD4153"/>
    <w:multiLevelType w:val="multilevel"/>
    <w:tmpl w:val="E44CEF4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06757399"/>
    <w:multiLevelType w:val="multilevel"/>
    <w:tmpl w:val="2F3A1A7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084A1DBA"/>
    <w:multiLevelType w:val="multilevel"/>
    <w:tmpl w:val="1492738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 w15:restartNumberingAfterBreak="0">
    <w:nsid w:val="0919234A"/>
    <w:multiLevelType w:val="multilevel"/>
    <w:tmpl w:val="4572B26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0DFC2523"/>
    <w:multiLevelType w:val="multilevel"/>
    <w:tmpl w:val="804C56B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116B5B68"/>
    <w:multiLevelType w:val="multilevel"/>
    <w:tmpl w:val="0FCA31A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14454935"/>
    <w:multiLevelType w:val="multilevel"/>
    <w:tmpl w:val="6220DFF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 w15:restartNumberingAfterBreak="0">
    <w:nsid w:val="1455424B"/>
    <w:multiLevelType w:val="multilevel"/>
    <w:tmpl w:val="DAE2C1B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15E64DC2"/>
    <w:multiLevelType w:val="multilevel"/>
    <w:tmpl w:val="3C5619C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 w15:restartNumberingAfterBreak="0">
    <w:nsid w:val="1A7D6BA8"/>
    <w:multiLevelType w:val="multilevel"/>
    <w:tmpl w:val="2076C96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25F96DD1"/>
    <w:multiLevelType w:val="multilevel"/>
    <w:tmpl w:val="005414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290A1CBD"/>
    <w:multiLevelType w:val="multilevel"/>
    <w:tmpl w:val="9F76DAA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325535CE"/>
    <w:multiLevelType w:val="hybridMultilevel"/>
    <w:tmpl w:val="D660B4B6"/>
    <w:lvl w:ilvl="0" w:tplc="3C0E58F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37267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C5CD0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55C1D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2DC98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916D1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E66E9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F8AE1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274E7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3E2F4C97"/>
    <w:multiLevelType w:val="multilevel"/>
    <w:tmpl w:val="2D4C28E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 w15:restartNumberingAfterBreak="0">
    <w:nsid w:val="43182AD9"/>
    <w:multiLevelType w:val="multilevel"/>
    <w:tmpl w:val="FCF25C6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8" w15:restartNumberingAfterBreak="0">
    <w:nsid w:val="436D7338"/>
    <w:multiLevelType w:val="multilevel"/>
    <w:tmpl w:val="A1BC4CC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44A24EBA"/>
    <w:multiLevelType w:val="multilevel"/>
    <w:tmpl w:val="9C1697C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47541B3E"/>
    <w:multiLevelType w:val="multilevel"/>
    <w:tmpl w:val="16AE8F8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1" w15:restartNumberingAfterBreak="0">
    <w:nsid w:val="4BFF2E08"/>
    <w:multiLevelType w:val="hybridMultilevel"/>
    <w:tmpl w:val="32706A56"/>
    <w:lvl w:ilvl="0" w:tplc="C5363A6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FA23C6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B84E1ED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B8FAE8C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CC5A4CA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F4B8BF2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EF38F3E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F71EE68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8016515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22" w15:restartNumberingAfterBreak="0">
    <w:nsid w:val="5AC74E83"/>
    <w:multiLevelType w:val="hybridMultilevel"/>
    <w:tmpl w:val="5E5AFA34"/>
    <w:lvl w:ilvl="0" w:tplc="4D02B6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7505A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35221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776DA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DB286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B529D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8AA80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E88F9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0F08C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B0402C9"/>
    <w:multiLevelType w:val="multilevel"/>
    <w:tmpl w:val="7F80B84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4" w15:restartNumberingAfterBreak="0">
    <w:nsid w:val="605C6666"/>
    <w:multiLevelType w:val="hybridMultilevel"/>
    <w:tmpl w:val="2780CF40"/>
    <w:lvl w:ilvl="0" w:tplc="8B14DF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F94CA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4BC66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1A083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BBC5D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8342D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0EC53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BD2BE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D6E3B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65011B60"/>
    <w:multiLevelType w:val="multilevel"/>
    <w:tmpl w:val="93D4C90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26" w15:restartNumberingAfterBreak="0">
    <w:nsid w:val="652A3ADA"/>
    <w:multiLevelType w:val="multilevel"/>
    <w:tmpl w:val="9E0A84E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694C4571"/>
    <w:multiLevelType w:val="multilevel"/>
    <w:tmpl w:val="543C0C1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6EE47CEA"/>
    <w:multiLevelType w:val="multilevel"/>
    <w:tmpl w:val="D11E241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7E69588D"/>
    <w:multiLevelType w:val="multilevel"/>
    <w:tmpl w:val="BB789C0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2"/>
  </w:num>
  <w:num w:numId="2">
    <w:abstractNumId w:val="22"/>
  </w:num>
  <w:num w:numId="3">
    <w:abstractNumId w:val="24"/>
  </w:num>
  <w:num w:numId="4">
    <w:abstractNumId w:val="7"/>
  </w:num>
  <w:num w:numId="5">
    <w:abstractNumId w:val="13"/>
  </w:num>
  <w:num w:numId="6">
    <w:abstractNumId w:val="20"/>
  </w:num>
  <w:num w:numId="7">
    <w:abstractNumId w:val="8"/>
  </w:num>
  <w:num w:numId="8">
    <w:abstractNumId w:val="27"/>
  </w:num>
  <w:num w:numId="9">
    <w:abstractNumId w:val="4"/>
  </w:num>
  <w:num w:numId="10">
    <w:abstractNumId w:val="17"/>
  </w:num>
  <w:num w:numId="11">
    <w:abstractNumId w:val="9"/>
  </w:num>
  <w:num w:numId="12">
    <w:abstractNumId w:val="18"/>
  </w:num>
  <w:num w:numId="13">
    <w:abstractNumId w:val="6"/>
  </w:num>
  <w:num w:numId="14">
    <w:abstractNumId w:val="15"/>
  </w:num>
  <w:num w:numId="15">
    <w:abstractNumId w:val="11"/>
  </w:num>
  <w:num w:numId="16">
    <w:abstractNumId w:val="21"/>
  </w:num>
  <w:num w:numId="17">
    <w:abstractNumId w:val="2"/>
  </w:num>
  <w:num w:numId="18">
    <w:abstractNumId w:val="16"/>
  </w:num>
  <w:num w:numId="19">
    <w:abstractNumId w:val="29"/>
  </w:num>
  <w:num w:numId="20">
    <w:abstractNumId w:val="10"/>
  </w:num>
  <w:num w:numId="21">
    <w:abstractNumId w:val="25"/>
  </w:num>
  <w:num w:numId="22">
    <w:abstractNumId w:val="5"/>
  </w:num>
  <w:num w:numId="23">
    <w:abstractNumId w:val="26"/>
  </w:num>
  <w:num w:numId="24">
    <w:abstractNumId w:val="19"/>
  </w:num>
  <w:num w:numId="25">
    <w:abstractNumId w:val="3"/>
  </w:num>
  <w:num w:numId="26">
    <w:abstractNumId w:val="28"/>
  </w:num>
  <w:num w:numId="27">
    <w:abstractNumId w:val="0"/>
  </w:num>
  <w:num w:numId="28">
    <w:abstractNumId w:val="1"/>
  </w:num>
  <w:num w:numId="29">
    <w:abstractNumId w:val="2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AF2"/>
    <w:rsid w:val="00015AF2"/>
    <w:rsid w:val="00200E13"/>
    <w:rsid w:val="00C3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BC21"/>
  <w15:docId w15:val="{48EF16D2-24AA-4D91-B411-630CB583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161</cp:revision>
  <dcterms:created xsi:type="dcterms:W3CDTF">2024-04-08T07:07:00Z</dcterms:created>
  <dcterms:modified xsi:type="dcterms:W3CDTF">2024-04-08T07:08:00Z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