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48" w:rsidRDefault="007D259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E84548" w:rsidRDefault="007D259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84548" w:rsidRDefault="007D259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4548" w:rsidRDefault="00E8454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84548" w:rsidRDefault="00E8454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84548" w:rsidRDefault="007D25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4548" w:rsidRDefault="00E84548">
      <w:pPr>
        <w:tabs>
          <w:tab w:val="left" w:pos="709"/>
        </w:tabs>
        <w:jc w:val="center"/>
        <w:rPr>
          <w:sz w:val="28"/>
        </w:rPr>
      </w:pPr>
    </w:p>
    <w:p w:rsidR="00E84548" w:rsidRDefault="00E84548">
      <w:pPr>
        <w:tabs>
          <w:tab w:val="left" w:pos="709"/>
        </w:tabs>
        <w:jc w:val="center"/>
        <w:rPr>
          <w:sz w:val="28"/>
        </w:rPr>
      </w:pPr>
    </w:p>
    <w:p w:rsidR="00E84548" w:rsidRDefault="00EF2488">
      <w:pPr>
        <w:tabs>
          <w:tab w:val="left" w:pos="709"/>
        </w:tabs>
        <w:jc w:val="both"/>
        <w:rPr>
          <w:sz w:val="28"/>
        </w:rPr>
      </w:pPr>
      <w:r w:rsidRPr="00EF2488">
        <w:rPr>
          <w:sz w:val="28"/>
        </w:rPr>
        <w:t xml:space="preserve">06 мая 2024 г.                                               </w:t>
      </w:r>
      <w:r w:rsidRPr="00EF2488">
        <w:rPr>
          <w:sz w:val="28"/>
        </w:rPr>
        <w:tab/>
      </w:r>
      <w:r w:rsidRPr="00EF2488">
        <w:rPr>
          <w:sz w:val="28"/>
        </w:rPr>
        <w:tab/>
      </w:r>
      <w:r w:rsidRPr="00EF2488">
        <w:rPr>
          <w:sz w:val="28"/>
        </w:rPr>
        <w:tab/>
      </w:r>
      <w:r w:rsidRPr="00EF2488">
        <w:rPr>
          <w:sz w:val="28"/>
        </w:rPr>
        <w:tab/>
        <w:t xml:space="preserve">                       № 20</w:t>
      </w:r>
      <w:r>
        <w:rPr>
          <w:sz w:val="28"/>
        </w:rPr>
        <w:t>7</w:t>
      </w:r>
      <w:bookmarkStart w:id="0" w:name="_GoBack"/>
      <w:bookmarkEnd w:id="0"/>
      <w:r w:rsidRPr="00EF2488">
        <w:rPr>
          <w:sz w:val="28"/>
        </w:rPr>
        <w:t>-п</w:t>
      </w:r>
    </w:p>
    <w:p w:rsidR="00EF2488" w:rsidRDefault="00EF248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84548">
        <w:trPr>
          <w:trHeight w:val="1515"/>
        </w:trPr>
        <w:tc>
          <w:tcPr>
            <w:tcW w:w="9929" w:type="dxa"/>
          </w:tcPr>
          <w:p w:rsidR="00E84548" w:rsidRDefault="00E8454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E84548" w:rsidRDefault="007D259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Сотницынского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E84548" w:rsidRDefault="00E8454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4548">
        <w:tc>
          <w:tcPr>
            <w:tcW w:w="9929" w:type="dxa"/>
          </w:tcPr>
          <w:p w:rsidR="00E84548" w:rsidRDefault="007D259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 учетом решения комиссии по территориальному планированию, землепользованию и застройке Рязанской </w:t>
            </w:r>
            <w:r>
              <w:rPr>
                <w:color w:val="000000" w:themeColor="text1"/>
                <w:sz w:val="28"/>
              </w:rPr>
              <w:t>области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Сотницынского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</w:t>
            </w:r>
            <w:r>
              <w:rPr>
                <w:sz w:val="28"/>
              </w:rPr>
              <w:t>му учреждению Рязанской области «Центр градостроительного развития Рязанской области»</w:t>
            </w:r>
            <w:r w:rsidRPr="00EF2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</w:t>
            </w:r>
            <w:r>
              <w:rPr>
                <w:sz w:val="28"/>
                <w:szCs w:val="28"/>
              </w:rPr>
              <w:t>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84548" w:rsidRDefault="007D259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E84548" w:rsidRDefault="007D259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</w:t>
            </w:r>
            <w:r>
              <w:rPr>
                <w:color w:val="000000" w:themeColor="text1"/>
                <w:sz w:val="28"/>
              </w:rPr>
              <w:t xml:space="preserve"> муниципального образования в сети «Интернет», публикацию в средствах массовой информации.</w:t>
            </w:r>
          </w:p>
          <w:p w:rsidR="00E84548" w:rsidRDefault="007D259F" w:rsidP="007D259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</w:t>
            </w:r>
            <w:r>
              <w:rPr>
                <w:sz w:val="28"/>
                <w:highlight w:val="white"/>
              </w:rPr>
              <w:t>пкову.</w:t>
            </w:r>
          </w:p>
          <w:p w:rsidR="00E84548" w:rsidRDefault="00E8454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E84548" w:rsidRDefault="00E8454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548">
        <w:tc>
          <w:tcPr>
            <w:tcW w:w="9929" w:type="dxa"/>
          </w:tcPr>
          <w:p w:rsidR="00E84548" w:rsidRDefault="007D259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84548" w:rsidRDefault="00E8454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E84548" w:rsidRDefault="00E8454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84548" w:rsidRDefault="00E8454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84548" w:rsidRDefault="00E8454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E84548" w:rsidRDefault="00E84548">
      <w:pPr>
        <w:rPr>
          <w:sz w:val="28"/>
        </w:rPr>
      </w:pPr>
    </w:p>
    <w:p w:rsidR="00E84548" w:rsidRDefault="00E84548">
      <w:pPr>
        <w:tabs>
          <w:tab w:val="left" w:pos="709"/>
        </w:tabs>
        <w:jc w:val="both"/>
        <w:rPr>
          <w:sz w:val="28"/>
        </w:rPr>
      </w:pPr>
    </w:p>
    <w:p w:rsidR="00E84548" w:rsidRDefault="00E84548">
      <w:pPr>
        <w:pStyle w:val="30"/>
      </w:pPr>
    </w:p>
    <w:sectPr w:rsidR="00E84548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9F" w:rsidRDefault="007D259F">
      <w:pPr>
        <w:pStyle w:val="30"/>
      </w:pPr>
      <w:r>
        <w:separator/>
      </w:r>
    </w:p>
  </w:endnote>
  <w:endnote w:type="continuationSeparator" w:id="0">
    <w:p w:rsidR="007D259F" w:rsidRDefault="007D259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9F" w:rsidRDefault="007D259F">
      <w:pPr>
        <w:pStyle w:val="30"/>
      </w:pPr>
      <w:r>
        <w:separator/>
      </w:r>
    </w:p>
  </w:footnote>
  <w:footnote w:type="continuationSeparator" w:id="0">
    <w:p w:rsidR="007D259F" w:rsidRDefault="007D259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8" w:rsidRDefault="007D259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84548" w:rsidRDefault="00E8454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642A6"/>
    <w:multiLevelType w:val="multilevel"/>
    <w:tmpl w:val="C3B8201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48"/>
    <w:rsid w:val="007D259F"/>
    <w:rsid w:val="00E84548"/>
    <w:rsid w:val="00E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2914"/>
  <w15:docId w15:val="{A083356F-FFE3-44FB-9D90-607D28F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205</cp:revision>
  <dcterms:created xsi:type="dcterms:W3CDTF">2024-05-06T09:47:00Z</dcterms:created>
  <dcterms:modified xsi:type="dcterms:W3CDTF">2024-05-06T09:48:00Z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