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62" w:rsidRDefault="00D10455">
      <w:pPr>
        <w:spacing w:line="280" w:lineRule="exact"/>
        <w:ind w:left="5669" w:firstLine="0"/>
        <w:jc w:val="left"/>
      </w:pPr>
      <w:r>
        <w:rPr>
          <w:rFonts w:eastAsia="Calibri"/>
          <w:color w:val="000000"/>
          <w:lang w:eastAsia="en-US"/>
        </w:rPr>
        <w:t>Приложение № 1</w:t>
      </w:r>
    </w:p>
    <w:p w:rsidR="00801362" w:rsidRDefault="00D10455">
      <w:pPr>
        <w:spacing w:line="280" w:lineRule="exact"/>
        <w:ind w:left="5669" w:firstLine="0"/>
        <w:jc w:val="left"/>
      </w:pPr>
      <w:r>
        <w:rPr>
          <w:rFonts w:eastAsia="Calibri"/>
          <w:color w:val="000000"/>
          <w:lang w:eastAsia="en-US"/>
        </w:rPr>
        <w:t xml:space="preserve">к постановлению </w:t>
      </w:r>
      <w:r>
        <w:rPr>
          <w:color w:val="000000"/>
        </w:rPr>
        <w:t xml:space="preserve">главного управления архитектуры и градостроительства </w:t>
      </w:r>
    </w:p>
    <w:p w:rsidR="00801362" w:rsidRDefault="00D10455">
      <w:pPr>
        <w:spacing w:line="280" w:lineRule="exact"/>
        <w:ind w:left="5669" w:firstLine="0"/>
        <w:jc w:val="left"/>
      </w:pPr>
      <w:r>
        <w:rPr>
          <w:color w:val="000000"/>
        </w:rPr>
        <w:t>Рязанской области</w:t>
      </w:r>
    </w:p>
    <w:p w:rsidR="00801362" w:rsidRDefault="00D47721">
      <w:pPr>
        <w:spacing w:line="280" w:lineRule="exact"/>
        <w:ind w:left="5669" w:firstLine="0"/>
        <w:jc w:val="lef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 14 мая 2024 г.</w:t>
      </w:r>
      <w:r w:rsidR="00D10455">
        <w:rPr>
          <w:rFonts w:eastAsia="Calibri"/>
          <w:color w:val="000000"/>
          <w:lang w:eastAsia="en-US"/>
        </w:rPr>
        <w:t xml:space="preserve"> №</w:t>
      </w:r>
      <w:r>
        <w:rPr>
          <w:rFonts w:eastAsia="Calibri"/>
          <w:color w:val="000000"/>
          <w:lang w:eastAsia="en-US"/>
        </w:rPr>
        <w:t xml:space="preserve"> 220-п</w:t>
      </w:r>
      <w:bookmarkStart w:id="0" w:name="_GoBack"/>
      <w:bookmarkEnd w:id="0"/>
    </w:p>
    <w:p w:rsidR="00801362" w:rsidRDefault="00801362">
      <w:pPr>
        <w:spacing w:line="280" w:lineRule="exact"/>
        <w:ind w:left="5102"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:rsidR="00801362" w:rsidRDefault="00D10455">
      <w:pPr>
        <w:pStyle w:val="aff"/>
        <w:ind w:firstLine="737"/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8B07F0">
        <w:rPr>
          <w:rFonts w:eastAsia="Calibri"/>
          <w:b/>
          <w:bCs/>
          <w:color w:val="000000"/>
          <w:sz w:val="28"/>
          <w:szCs w:val="28"/>
          <w:lang w:eastAsia="en-US"/>
        </w:rPr>
        <w:t>1.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Жилые зоны.</w:t>
      </w:r>
      <w:r>
        <w:rPr>
          <w:b/>
          <w:bCs/>
          <w:sz w:val="28"/>
          <w:szCs w:val="28"/>
        </w:rPr>
        <w:t xml:space="preserve"> </w:t>
      </w:r>
    </w:p>
    <w:p w:rsidR="00801362" w:rsidRDefault="00801362">
      <w:pPr>
        <w:rPr>
          <w:sz w:val="28"/>
          <w:szCs w:val="28"/>
        </w:rPr>
      </w:pPr>
    </w:p>
    <w:p w:rsidR="00801362" w:rsidRDefault="00D10455" w:rsidP="00DC2336">
      <w:pPr>
        <w:widowControl/>
      </w:pPr>
      <w:r>
        <w:rPr>
          <w:rFonts w:eastAsia="Arial"/>
          <w:color w:val="000000"/>
          <w:sz w:val="28"/>
          <w:szCs w:val="28"/>
        </w:rPr>
        <w:t>Ж</w:t>
      </w:r>
      <w:r>
        <w:rPr>
          <w:rFonts w:eastAsia="Arial"/>
          <w:sz w:val="28"/>
          <w:szCs w:val="28"/>
        </w:rPr>
        <w:t xml:space="preserve">илые зоны предназначены для размещения индивидуальных жилых домов </w:t>
      </w:r>
      <w:r>
        <w:rPr>
          <w:rFonts w:eastAsia="XO Thames;Times New Roman"/>
          <w:color w:val="000000"/>
          <w:sz w:val="28"/>
          <w:szCs w:val="28"/>
          <w:lang w:eastAsia="ar-SA"/>
        </w:rPr>
        <w:t>с приусадебными земельными участками</w:t>
      </w:r>
      <w:r>
        <w:rPr>
          <w:rFonts w:eastAsia="Arial"/>
          <w:sz w:val="28"/>
          <w:szCs w:val="28"/>
        </w:rPr>
        <w:t xml:space="preserve">, малоэтажных </w:t>
      </w:r>
      <w:r>
        <w:rPr>
          <w:rFonts w:eastAsia="XO Thames;Times New Roman"/>
          <w:color w:val="000000"/>
          <w:sz w:val="28"/>
          <w:szCs w:val="28"/>
          <w:lang w:eastAsia="ar-SA"/>
        </w:rPr>
        <w:t>и блокированных жилых</w:t>
      </w:r>
      <w:r>
        <w:rPr>
          <w:rFonts w:eastAsia="Arial"/>
          <w:sz w:val="28"/>
          <w:szCs w:val="28"/>
        </w:rPr>
        <w:t xml:space="preserve"> домов,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иных объектов, связанных с проживанием граждан и не оказывающих негативного воздействия на окружающую среду.  </w:t>
      </w:r>
    </w:p>
    <w:p w:rsidR="00801362" w:rsidRDefault="00D10455" w:rsidP="00DC2336">
      <w:pPr>
        <w:pStyle w:val="aff"/>
      </w:pPr>
      <w:r>
        <w:rPr>
          <w:rFonts w:eastAsia="Arial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 в жилых зонах представлены в таблице ниже. </w:t>
      </w:r>
    </w:p>
    <w:tbl>
      <w:tblPr>
        <w:tblW w:w="10036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5964"/>
        <w:gridCol w:w="1699"/>
      </w:tblGrid>
      <w:tr w:rsidR="00801362">
        <w:trPr>
          <w:tblHeader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01362" w:rsidRDefault="00D10455" w:rsidP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01362">
        <w:tc>
          <w:tcPr>
            <w:tcW w:w="23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left="113" w:right="57" w:firstLine="0"/>
            </w:pPr>
            <w:r>
              <w:t>Основные виды разрешенного использования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ind w:left="113" w:right="57" w:firstLine="0"/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t>малоэтажная многоквартирная жилая застройка;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2.1.1</w:t>
            </w:r>
          </w:p>
        </w:tc>
      </w:tr>
      <w:tr w:rsidR="00801362">
        <w:trPr>
          <w:trHeight w:val="121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left="113" w:firstLine="0"/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2.2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х</w:t>
            </w:r>
            <w:r>
              <w:rPr>
                <w:color w:val="000000"/>
              </w:rPr>
              <w:t>ранение автотранспорта;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1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t>предоставление коммунальных услуг;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3.1.1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left="113" w:firstLine="0"/>
            </w:pPr>
            <w:r>
              <w:t xml:space="preserve">административные здания организаций, </w:t>
            </w:r>
            <w:proofErr w:type="spellStart"/>
            <w:r>
              <w:t>обеспеч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    </w:t>
            </w:r>
            <w:proofErr w:type="spellStart"/>
            <w:r>
              <w:t>вающих</w:t>
            </w:r>
            <w:proofErr w:type="spellEnd"/>
            <w:r>
              <w:t xml:space="preserve"> предоставление коммунальных услуг;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3.1.2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3.2.3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3.3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3.4.1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3.5.1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3.6.1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t>парки культуры и отдыха;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3.6.2</w:t>
            </w:r>
          </w:p>
        </w:tc>
      </w:tr>
      <w:tr w:rsidR="00801362">
        <w:trPr>
          <w:trHeight w:val="238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3.8.1</w:t>
            </w:r>
          </w:p>
        </w:tc>
      </w:tr>
      <w:tr w:rsidR="00801362">
        <w:trPr>
          <w:trHeight w:val="238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магазины;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4.4</w:t>
            </w:r>
          </w:p>
        </w:tc>
      </w:tr>
      <w:tr w:rsidR="00801362">
        <w:trPr>
          <w:trHeight w:val="238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5.1.2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5.1.3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8.3</w:t>
            </w:r>
          </w:p>
        </w:tc>
      </w:tr>
      <w:tr w:rsidR="00801362"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rPr>
                <w:color w:val="000000"/>
              </w:rPr>
              <w:t>земельные участки (территории) общего пользования.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12.0</w:t>
            </w:r>
          </w:p>
        </w:tc>
      </w:tr>
      <w:tr w:rsidR="00801362">
        <w:trPr>
          <w:trHeight w:val="278"/>
        </w:trPr>
        <w:tc>
          <w:tcPr>
            <w:tcW w:w="23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left="113" w:right="113" w:firstLine="0"/>
            </w:pPr>
            <w:r>
              <w:t>Условно разрешенные виды использования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2.5</w:t>
            </w:r>
          </w:p>
        </w:tc>
      </w:tr>
      <w:tr w:rsidR="00801362">
        <w:trPr>
          <w:trHeight w:val="278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ind w:left="113" w:right="113" w:firstLine="0"/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t>деловое управление;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4.1</w:t>
            </w:r>
          </w:p>
        </w:tc>
      </w:tr>
      <w:tr w:rsidR="00801362">
        <w:trPr>
          <w:trHeight w:val="278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ind w:left="113" w:right="113" w:firstLine="0"/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t>общественное питание;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4.6</w:t>
            </w:r>
          </w:p>
        </w:tc>
      </w:tr>
      <w:tr w:rsidR="00801362">
        <w:trPr>
          <w:trHeight w:val="278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801362">
            <w:pPr>
              <w:pStyle w:val="affff4"/>
              <w:ind w:left="113" w:right="113" w:firstLine="0"/>
            </w:pP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113"/>
            </w:pPr>
            <w:r>
              <w:t>гостиничное обслуживание.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4.7</w:t>
            </w:r>
          </w:p>
        </w:tc>
      </w:tr>
      <w:tr w:rsidR="00801362">
        <w:trPr>
          <w:trHeight w:val="312"/>
        </w:trPr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left="113" w:right="113" w:firstLine="0"/>
            </w:pPr>
            <w:r>
              <w:t>Вспомогательные</w:t>
            </w:r>
          </w:p>
          <w:p w:rsidR="00801362" w:rsidRDefault="00D10455">
            <w:pPr>
              <w:pStyle w:val="affff4"/>
              <w:ind w:left="113" w:right="113" w:firstLine="0"/>
            </w:pPr>
            <w:r>
              <w:t>виды разрешенного использования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left="113" w:firstLine="0"/>
            </w:pPr>
            <w:r>
              <w:t>не подлежат установлению.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left="57" w:firstLine="0"/>
              <w:jc w:val="center"/>
            </w:pPr>
            <w:r>
              <w:t>-</w:t>
            </w:r>
          </w:p>
        </w:tc>
      </w:tr>
    </w:tbl>
    <w:p w:rsidR="00801362" w:rsidRDefault="00D10455" w:rsidP="00DC2336">
      <w:pPr>
        <w:pStyle w:val="aff"/>
        <w:numPr>
          <w:ilvl w:val="0"/>
          <w:numId w:val="1"/>
        </w:numPr>
        <w:ind w:firstLine="680"/>
      </w:pPr>
      <w:r w:rsidRPr="00DC2336">
        <w:rPr>
          <w:sz w:val="28"/>
          <w:szCs w:val="28"/>
        </w:rPr>
        <w:t xml:space="preserve">Предельные размеры земельных участков, </w:t>
      </w:r>
      <w:r w:rsidRPr="00DC2336">
        <w:rPr>
          <w:color w:val="000000"/>
          <w:sz w:val="28"/>
          <w:szCs w:val="28"/>
        </w:rPr>
        <w:t>в том числе их площадь</w:t>
      </w:r>
      <w:r w:rsidRPr="00DC2336">
        <w:rPr>
          <w:sz w:val="28"/>
          <w:szCs w:val="28"/>
        </w:rPr>
        <w:t xml:space="preserve"> и предельные параметры разрешенного строительства, реконструкции объектов </w:t>
      </w:r>
      <w:r w:rsidRPr="00DC2336">
        <w:rPr>
          <w:sz w:val="28"/>
          <w:szCs w:val="28"/>
        </w:rPr>
        <w:lastRenderedPageBreak/>
        <w:t xml:space="preserve">капитального строительства в </w:t>
      </w:r>
      <w:r w:rsidRPr="00DC2336">
        <w:rPr>
          <w:rFonts w:eastAsia="XO Thames;Times New Roman"/>
          <w:sz w:val="28"/>
          <w:szCs w:val="28"/>
        </w:rPr>
        <w:t xml:space="preserve">зоне </w:t>
      </w:r>
      <w:r w:rsidRPr="00DC2336">
        <w:rPr>
          <w:rFonts w:eastAsia="XO Thames;Times New Roman"/>
          <w:color w:val="000000"/>
          <w:sz w:val="28"/>
          <w:szCs w:val="28"/>
          <w:lang w:eastAsia="zh-CN"/>
        </w:rPr>
        <w:t>застройки индивидуальными жилыми домами</w:t>
      </w:r>
      <w:r w:rsidRPr="00DC2336">
        <w:rPr>
          <w:rFonts w:eastAsia="Calibri"/>
          <w:color w:val="000000"/>
          <w:sz w:val="28"/>
          <w:szCs w:val="28"/>
        </w:rPr>
        <w:t xml:space="preserve"> представлены в таблице ниже.</w:t>
      </w:r>
    </w:p>
    <w:tbl>
      <w:tblPr>
        <w:tblW w:w="9976" w:type="dxa"/>
        <w:tblInd w:w="6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50"/>
        <w:gridCol w:w="1017"/>
        <w:gridCol w:w="922"/>
        <w:gridCol w:w="1175"/>
        <w:gridCol w:w="1493"/>
        <w:gridCol w:w="1878"/>
        <w:gridCol w:w="1562"/>
      </w:tblGrid>
      <w:tr w:rsidR="00801362">
        <w:trPr>
          <w:trHeight w:val="791"/>
          <w:tblHeader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Код</w:t>
            </w:r>
          </w:p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вида раз-</w:t>
            </w:r>
          </w:p>
          <w:p w:rsidR="00801362" w:rsidRDefault="00D10455">
            <w:pPr>
              <w:pStyle w:val="affff4"/>
              <w:ind w:firstLine="0"/>
              <w:jc w:val="center"/>
            </w:pPr>
            <w:proofErr w:type="gramStart"/>
            <w:r>
              <w:rPr>
                <w:color w:val="000000"/>
              </w:rPr>
              <w:t>решен-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исполь-зования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 xml:space="preserve"> участка (м)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01362" w:rsidRDefault="00D10455">
            <w:pPr>
              <w:pStyle w:val="affff4"/>
              <w:ind w:firstLine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01362" w:rsidRDefault="00D10455">
            <w:pPr>
              <w:pStyle w:val="affff4"/>
              <w:ind w:firstLine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01362" w:rsidRDefault="00D10455">
            <w:pPr>
              <w:pStyle w:val="affff4"/>
              <w:ind w:firstLine="0"/>
              <w:jc w:val="center"/>
            </w:pPr>
            <w:r>
              <w:t>от границ земельного участка</w:t>
            </w:r>
          </w:p>
          <w:p w:rsidR="00801362" w:rsidRDefault="00D10455">
            <w:pPr>
              <w:pStyle w:val="affff4"/>
              <w:ind w:firstLine="0"/>
              <w:jc w:val="center"/>
            </w:pPr>
            <w:r>
              <w:t>(м)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Предельное количество этажей/</w:t>
            </w:r>
          </w:p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предельная высота зданий, строений, сооружений (м)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01362" w:rsidRDefault="00D10455">
            <w:pPr>
              <w:pStyle w:val="affff4"/>
              <w:ind w:left="-28" w:firstLine="0"/>
              <w:jc w:val="center"/>
            </w:pPr>
            <w:r>
              <w:rPr>
                <w:rFonts w:eastAsia="Calibri"/>
                <w:color w:val="000000"/>
                <w:lang w:eastAsia="zh-CN"/>
              </w:rPr>
              <w:t>(%)</w:t>
            </w:r>
          </w:p>
        </w:tc>
      </w:tr>
      <w:tr w:rsidR="00801362">
        <w:trPr>
          <w:trHeight w:hRule="exact" w:val="1153"/>
          <w:tblHeader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801362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Мин.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Макс.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Мин.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801362" w:rsidRDefault="00D10455">
            <w:pPr>
              <w:pStyle w:val="affff4"/>
              <w:ind w:firstLine="0"/>
              <w:jc w:val="center"/>
            </w:pPr>
            <w:r>
              <w:t>Макс.</w:t>
            </w: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801362">
            <w:pPr>
              <w:pStyle w:val="affff4"/>
              <w:jc w:val="center"/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801362">
            <w:pPr>
              <w:pStyle w:val="affff4"/>
              <w:ind w:firstLine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801362">
            <w:pPr>
              <w:pStyle w:val="affff4"/>
              <w:ind w:firstLine="0"/>
              <w:jc w:val="center"/>
            </w:pPr>
          </w:p>
        </w:tc>
      </w:tr>
      <w:tr w:rsidR="00801362">
        <w:trPr>
          <w:trHeight w:hRule="exact" w:val="283"/>
        </w:trPr>
        <w:tc>
          <w:tcPr>
            <w:tcW w:w="99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Основные виды разрешенного использования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2500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2.1.1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2500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200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2500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 (0)**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t>3*/20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40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80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1*/4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t>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3.6.2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t>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t>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801362">
        <w:trPr>
          <w:trHeight w:hRule="exact" w:val="283"/>
        </w:trPr>
        <w:tc>
          <w:tcPr>
            <w:tcW w:w="99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val="en-US" w:eastAsia="zh-CN"/>
              </w:rPr>
            </w:pPr>
            <w:r>
              <w:rPr>
                <w:rFonts w:eastAsia="Calibri" w:cs="Calibri"/>
                <w:color w:val="000000"/>
                <w:szCs w:val="22"/>
                <w:lang w:val="en-US" w:eastAsia="zh-CN"/>
              </w:rPr>
              <w:t>2.5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1500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>НПУ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8*/НПУ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val="en-US" w:eastAsia="zh-CN"/>
              </w:rPr>
            </w:pPr>
            <w:r>
              <w:rPr>
                <w:rFonts w:eastAsia="Calibri" w:cs="Calibri"/>
                <w:color w:val="000000"/>
                <w:szCs w:val="22"/>
                <w:lang w:val="en-US" w:eastAsia="zh-CN"/>
              </w:rPr>
              <w:t>4.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4.6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8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4.7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firstLine="0"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801362">
        <w:trPr>
          <w:trHeight w:hRule="exact" w:val="2094"/>
        </w:trPr>
        <w:tc>
          <w:tcPr>
            <w:tcW w:w="99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62" w:rsidRDefault="00D10455">
            <w:pPr>
              <w:pStyle w:val="affff4"/>
              <w:ind w:left="57" w:right="57" w:firstLine="0"/>
            </w:pPr>
            <w:r>
              <w:rPr>
                <w:color w:val="000000"/>
              </w:rPr>
              <w:t xml:space="preserve">* 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801362" w:rsidRDefault="00D10455">
            <w:pPr>
              <w:pStyle w:val="aff"/>
              <w:widowControl w:val="0"/>
              <w:suppressLineNumbers/>
              <w:ind w:left="57" w:right="57" w:firstLine="0"/>
            </w:pPr>
            <w:r>
              <w:rPr>
                <w:color w:val="000000"/>
              </w:rPr>
              <w:t xml:space="preserve">** </w:t>
            </w:r>
            <w:r>
              <w:rPr>
                <w:rFonts w:eastAsia="Calibri" w:cs="Calibri"/>
                <w:color w:val="000000"/>
                <w:lang w:eastAsia="zh-CN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color w:val="000000"/>
                <w:lang w:eastAsia="zh-CN"/>
              </w:rPr>
              <w:t>домами</w:t>
            </w:r>
            <w:proofErr w:type="gramEnd"/>
            <w:r>
              <w:rPr>
                <w:rFonts w:eastAsia="Calibri" w:cs="Calibri"/>
                <w:color w:val="000000"/>
                <w:lang w:eastAsia="zh-CN"/>
              </w:rPr>
              <w:t xml:space="preserve"> имеющими общие боковые стены без проемов - 0 м.</w:t>
            </w:r>
          </w:p>
        </w:tc>
      </w:tr>
    </w:tbl>
    <w:p w:rsidR="00801362" w:rsidRDefault="00D10455">
      <w:pPr>
        <w:pStyle w:val="aff"/>
        <w:ind w:firstLine="0"/>
        <w:contextualSpacing/>
        <w:jc w:val="right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»</w:t>
      </w:r>
    </w:p>
    <w:p w:rsidR="00801362" w:rsidRDefault="00801362">
      <w:pPr>
        <w:widowControl/>
        <w:rPr>
          <w:rFonts w:eastAsia="Calibri" w:cs="Calibri"/>
          <w:sz w:val="28"/>
          <w:szCs w:val="28"/>
        </w:rPr>
      </w:pPr>
    </w:p>
    <w:p w:rsidR="00801362" w:rsidRDefault="00801362">
      <w:pPr>
        <w:widowControl/>
        <w:rPr>
          <w:rFonts w:eastAsia="Calibri" w:cs="Calibri"/>
          <w:sz w:val="28"/>
          <w:szCs w:val="28"/>
        </w:rPr>
      </w:pPr>
    </w:p>
    <w:p w:rsidR="00801362" w:rsidRDefault="00801362">
      <w:pPr>
        <w:widowControl/>
        <w:rPr>
          <w:rFonts w:eastAsia="Calibri" w:cs="Calibri"/>
          <w:sz w:val="28"/>
          <w:szCs w:val="28"/>
        </w:rPr>
      </w:pPr>
    </w:p>
    <w:p w:rsidR="00801362" w:rsidRDefault="00801362">
      <w:pPr>
        <w:widowControl/>
        <w:rPr>
          <w:rFonts w:eastAsia="Calibri" w:cs="Calibri"/>
          <w:sz w:val="28"/>
          <w:szCs w:val="28"/>
        </w:rPr>
      </w:pPr>
    </w:p>
    <w:sectPr w:rsidR="00801362" w:rsidSect="000942D4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F78"/>
    <w:multiLevelType w:val="multilevel"/>
    <w:tmpl w:val="8C7286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7243AF"/>
    <w:multiLevelType w:val="multilevel"/>
    <w:tmpl w:val="C5A27F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01362"/>
    <w:rsid w:val="000942D4"/>
    <w:rsid w:val="00801362"/>
    <w:rsid w:val="008B07F0"/>
    <w:rsid w:val="00D10455"/>
    <w:rsid w:val="00D47721"/>
    <w:rsid w:val="00D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styleId="1">
    <w:name w:val="heading 1"/>
    <w:basedOn w:val="a"/>
    <w:qFormat/>
    <w:pPr>
      <w:keepNext/>
      <w:keepLines/>
      <w:spacing w:before="480"/>
      <w:ind w:firstLine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b/>
      <w:bCs/>
      <w:i/>
      <w:iCs/>
      <w:color w:val="4F81BD" w:themeColor="accent1"/>
    </w:rPr>
  </w:style>
  <w:style w:type="paragraph" w:styleId="5">
    <w:name w:val="heading 5"/>
    <w:basedOn w:val="a"/>
    <w:qFormat/>
    <w:pPr>
      <w:keepNext/>
      <w:spacing w:before="80" w:after="80"/>
      <w:outlineLvl w:val="4"/>
    </w:pPr>
    <w:rPr>
      <w:rFonts w:eastAsia="Times New Roman"/>
      <w:b/>
      <w:sz w:val="36"/>
      <w:szCs w:val="20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qFormat/>
    <w:rPr>
      <w:rFonts w:ascii="Arial" w:eastAsia="Arial" w:hAnsi="Arial" w:cs="Arial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Pr>
      <w:rFonts w:ascii="Arial" w:eastAsia="Lucida Sans Unicode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Intense Emphasis"/>
    <w:uiPriority w:val="21"/>
    <w:qFormat/>
    <w:rPr>
      <w:b/>
      <w:bCs/>
      <w:i/>
      <w:iCs/>
      <w:color w:val="4F81BD"/>
    </w:rPr>
  </w:style>
  <w:style w:type="character" w:customStyle="1" w:styleId="21">
    <w:name w:val="Цитата 2 Знак"/>
    <w:basedOn w:val="a0"/>
    <w:uiPriority w:val="29"/>
    <w:qFormat/>
    <w:rPr>
      <w:rFonts w:ascii="Calibri" w:eastAsia="Calibri" w:hAnsi="Calibri" w:cs="Times New Roman"/>
      <w:i/>
      <w:iCs/>
      <w:color w:val="000000"/>
    </w:rPr>
  </w:style>
  <w:style w:type="character" w:customStyle="1" w:styleId="a7">
    <w:name w:val="Выделенная цитата Знак"/>
    <w:basedOn w:val="a0"/>
    <w:uiPriority w:val="30"/>
    <w:qFormat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8">
    <w:name w:val="Верхний колонтитул Знак"/>
    <w:basedOn w:val="a0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semiHidden/>
    <w:qFormat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ab">
    <w:name w:val="Главы Знак"/>
    <w:basedOn w:val="10"/>
    <w:qFormat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d">
    <w:name w:val="Текст Знак"/>
    <w:basedOn w:val="a0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Посещённая гиперссылка"/>
    <w:basedOn w:val="a0"/>
    <w:rPr>
      <w:color w:val="800080"/>
      <w:u w:val="single"/>
    </w:rPr>
  </w:style>
  <w:style w:type="character" w:customStyle="1" w:styleId="af">
    <w:name w:val="Текст сноски Знак"/>
    <w:basedOn w:val="a0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qFormat/>
    <w:rPr>
      <w:rFonts w:ascii="TimesET" w:eastAsia="TimesET" w:hAnsi="TimesET" w:cs="Times New Roman"/>
      <w:b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2">
    <w:name w:val="page number"/>
    <w:basedOn w:val="a0"/>
    <w:qFormat/>
  </w:style>
  <w:style w:type="character" w:customStyle="1" w:styleId="af3">
    <w:name w:val="название зоны Знак"/>
    <w:basedOn w:val="a0"/>
    <w:qFormat/>
    <w:rPr>
      <w:rFonts w:eastAsia="Lucida Sans Unicode" w:cs="Times New Roman"/>
      <w:i/>
      <w:sz w:val="24"/>
      <w:szCs w:val="24"/>
      <w:lang w:eastAsia="ru-RU"/>
    </w:rPr>
  </w:style>
  <w:style w:type="character" w:customStyle="1" w:styleId="af4">
    <w:name w:val="Название зоны Знак"/>
    <w:basedOn w:val="af3"/>
    <w:qFormat/>
    <w:rPr>
      <w:rFonts w:ascii="Candara" w:eastAsia="Lucida Sans Unicode" w:hAnsi="Candara" w:cs="Times New Roman"/>
      <w:b/>
      <w:i/>
      <w:sz w:val="24"/>
      <w:szCs w:val="24"/>
      <w:lang w:eastAsia="ru-RU"/>
    </w:rPr>
  </w:style>
  <w:style w:type="character" w:customStyle="1" w:styleId="af5">
    <w:name w:val="Описание зоны Знак"/>
    <w:basedOn w:val="a0"/>
    <w:qFormat/>
    <w:rPr>
      <w:rFonts w:ascii="Candara" w:eastAsia="Lucida Sans Unicode" w:hAnsi="Candara" w:cs="Times New Roman"/>
      <w:sz w:val="24"/>
      <w:szCs w:val="24"/>
      <w:lang w:eastAsia="ru-RU" w:bidi="hi-IN"/>
    </w:rPr>
  </w:style>
  <w:style w:type="character" w:customStyle="1" w:styleId="af6">
    <w:name w:val="Осн виды Знак"/>
    <w:basedOn w:val="a0"/>
    <w:qFormat/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f7">
    <w:name w:val="Абзац списка Знак"/>
    <w:basedOn w:val="a0"/>
    <w:uiPriority w:val="34"/>
    <w:qFormat/>
    <w:rPr>
      <w:rFonts w:eastAsia="Lucida Sans Unicode" w:cs="Times New Roman"/>
      <w:sz w:val="24"/>
      <w:szCs w:val="24"/>
      <w:lang w:eastAsia="ru-RU"/>
    </w:rPr>
  </w:style>
  <w:style w:type="character" w:customStyle="1" w:styleId="af8">
    <w:name w:val="список разреш испол Знак"/>
    <w:basedOn w:val="af7"/>
    <w:qFormat/>
    <w:rPr>
      <w:rFonts w:ascii="Times New Roman" w:eastAsia="Lucida Sans Unicode" w:hAnsi="Times New Roman" w:cs="Times New Roman"/>
      <w:sz w:val="24"/>
      <w:szCs w:val="24"/>
      <w:lang w:eastAsia="ru-RU" w:bidi="hi-IN"/>
    </w:r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примечания Знак"/>
    <w:basedOn w:val="a0"/>
    <w:uiPriority w:val="99"/>
    <w:semiHidden/>
    <w:qFormat/>
    <w:rPr>
      <w:rFonts w:eastAsia="Lucida Sans Unicode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semiHidden/>
    <w:qFormat/>
    <w:rPr>
      <w:rFonts w:eastAsia="Lucida Sans Unicode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uiPriority w:val="9"/>
    <w:semiHidden/>
    <w:qFormat/>
    <w:rPr>
      <w:rFonts w:ascii="Arial" w:eastAsia="Arial" w:hAnsi="Arial" w:cs="Arial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fc">
    <w:name w:val="Ссылка указателя"/>
    <w:qFormat/>
  </w:style>
  <w:style w:type="character" w:customStyle="1" w:styleId="afd">
    <w:name w:val="Цветовое выделение для Текст"/>
    <w:qFormat/>
  </w:style>
  <w:style w:type="paragraph" w:customStyle="1" w:styleId="afe">
    <w:name w:val="Заголовок"/>
    <w:next w:val="aff"/>
    <w:qFormat/>
    <w:rPr>
      <w:rFonts w:ascii="Arial" w:hAnsi="Arial" w:cs="Arial"/>
      <w:b/>
      <w:bCs/>
      <w:sz w:val="22"/>
      <w:lang w:eastAsia="ru-RU"/>
    </w:rPr>
  </w:style>
  <w:style w:type="paragraph" w:styleId="aff">
    <w:name w:val="Body Text"/>
    <w:basedOn w:val="a"/>
    <w:pPr>
      <w:widowControl/>
    </w:pPr>
    <w:rPr>
      <w:rFonts w:eastAsia="Times New Roman"/>
    </w:r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2">
    <w:name w:val="index heading"/>
    <w:basedOn w:val="afe"/>
  </w:style>
  <w:style w:type="paragraph" w:styleId="af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4">
    <w:name w:val="endnote text"/>
    <w:basedOn w:val="a"/>
    <w:uiPriority w:val="99"/>
    <w:semiHidden/>
    <w:unhideWhenUsed/>
    <w:rPr>
      <w:sz w:val="20"/>
    </w:rPr>
  </w:style>
  <w:style w:type="paragraph" w:styleId="aff5">
    <w:name w:val="Subtitle"/>
    <w:basedOn w:val="a"/>
    <w:uiPriority w:val="11"/>
    <w:qFormat/>
    <w:pPr>
      <w:widowControl/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styleId="24">
    <w:name w:val="Quote"/>
    <w:basedOn w:val="a"/>
    <w:uiPriority w:val="29"/>
    <w:qFormat/>
    <w:pPr>
      <w:widowControl/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6">
    <w:name w:val="Intense Quote"/>
    <w:basedOn w:val="a"/>
    <w:uiPriority w:val="30"/>
    <w:qFormat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aff7">
    <w:name w:val="Верхний и нижний колонтитулы"/>
    <w:basedOn w:val="a"/>
    <w:qFormat/>
  </w:style>
  <w:style w:type="paragraph" w:customStyle="1" w:styleId="aff8">
    <w:name w:val="Колонтитул"/>
    <w:basedOn w:val="a"/>
    <w:qFormat/>
  </w:style>
  <w:style w:type="paragraph" w:styleId="aff9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ffa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ffb">
    <w:name w:val="Balloon Text"/>
    <w:basedOn w:val="a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customStyle="1" w:styleId="affc">
    <w:name w:val="Главы"/>
    <w:basedOn w:val="1"/>
    <w:qFormat/>
    <w:rPr>
      <w:rFonts w:ascii="Times New Roman" w:hAnsi="Times New Roman"/>
      <w:color w:val="000000"/>
    </w:rPr>
  </w:style>
  <w:style w:type="paragraph" w:styleId="affd">
    <w:name w:val="TOC Heading"/>
    <w:basedOn w:val="1"/>
    <w:uiPriority w:val="39"/>
    <w:semiHidden/>
    <w:unhideWhenUsed/>
    <w:qFormat/>
    <w:pPr>
      <w:widowControl/>
      <w:spacing w:line="276" w:lineRule="auto"/>
    </w:pPr>
    <w:rPr>
      <w:rFonts w:ascii="Arial" w:eastAsia="Arial" w:hAnsi="Arial" w:cs="Arial"/>
      <w:color w:val="365F91" w:themeColor="accent1" w:themeShade="BF"/>
      <w:lang w:eastAsia="en-US"/>
    </w:rPr>
  </w:style>
  <w:style w:type="paragraph" w:styleId="32">
    <w:name w:val="toc 3"/>
    <w:basedOn w:val="a"/>
    <w:uiPriority w:val="39"/>
    <w:unhideWhenUsed/>
    <w:pPr>
      <w:ind w:left="480"/>
      <w:jc w:val="left"/>
    </w:pPr>
    <w:rPr>
      <w:sz w:val="20"/>
      <w:szCs w:val="20"/>
    </w:rPr>
  </w:style>
  <w:style w:type="paragraph" w:styleId="11">
    <w:name w:val="toc 1"/>
    <w:basedOn w:val="a"/>
    <w:uiPriority w:val="39"/>
    <w:unhideWhenUsed/>
    <w:pPr>
      <w:tabs>
        <w:tab w:val="left" w:pos="993"/>
        <w:tab w:val="right" w:leader="dot" w:pos="9498"/>
      </w:tabs>
      <w:spacing w:before="240" w:after="120"/>
      <w:ind w:firstLine="0"/>
      <w:jc w:val="left"/>
    </w:pPr>
    <w:rPr>
      <w:b/>
      <w:bCs/>
      <w:sz w:val="20"/>
      <w:szCs w:val="20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styleId="afff">
    <w:name w:val="Plain Text"/>
    <w:basedOn w:val="a"/>
    <w:uiPriority w:val="99"/>
    <w:qFormat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Cs w:val="20"/>
      <w:lang w:eastAsia="ru-RU"/>
    </w:rPr>
  </w:style>
  <w:style w:type="paragraph" w:styleId="afff0">
    <w:name w:val="footnote text"/>
    <w:basedOn w:val="a"/>
    <w:semiHidden/>
    <w:pPr>
      <w:widowControl/>
    </w:pPr>
    <w:rPr>
      <w:rFonts w:eastAsia="Times New Roman"/>
      <w:sz w:val="20"/>
      <w:szCs w:val="20"/>
    </w:rPr>
  </w:style>
  <w:style w:type="paragraph" w:styleId="afff1">
    <w:name w:val="Body Text Indent"/>
    <w:basedOn w:val="a"/>
    <w:pPr>
      <w:widowControl/>
      <w:ind w:left="360"/>
      <w:jc w:val="center"/>
    </w:pPr>
    <w:rPr>
      <w:rFonts w:eastAsia="Times New Roman"/>
      <w:sz w:val="32"/>
      <w:szCs w:val="20"/>
    </w:rPr>
  </w:style>
  <w:style w:type="paragraph" w:styleId="25">
    <w:name w:val="Body Text 2"/>
    <w:basedOn w:val="a"/>
    <w:qFormat/>
    <w:pPr>
      <w:widowControl/>
      <w:tabs>
        <w:tab w:val="left" w:pos="709"/>
      </w:tabs>
      <w:jc w:val="center"/>
    </w:pPr>
    <w:rPr>
      <w:rFonts w:ascii="TimesET" w:eastAsia="TimesET" w:hAnsi="TimesET"/>
      <w:b/>
      <w:sz w:val="20"/>
      <w:szCs w:val="20"/>
    </w:rPr>
  </w:style>
  <w:style w:type="paragraph" w:styleId="26">
    <w:name w:val="Body Text Indent 2"/>
    <w:basedOn w:val="a"/>
    <w:qFormat/>
    <w:pPr>
      <w:widowControl/>
      <w:ind w:left="540" w:hanging="540"/>
    </w:pPr>
    <w:rPr>
      <w:rFonts w:eastAsia="Times New Roman"/>
      <w:b/>
      <w:bCs/>
      <w:sz w:val="20"/>
      <w:szCs w:val="20"/>
    </w:rPr>
  </w:style>
  <w:style w:type="paragraph" w:styleId="33">
    <w:name w:val="Body Text Indent 3"/>
    <w:basedOn w:val="a"/>
    <w:qFormat/>
    <w:pPr>
      <w:widowControl/>
      <w:ind w:left="360" w:hanging="360"/>
    </w:pPr>
    <w:rPr>
      <w:rFonts w:eastAsia="Times New Roman"/>
      <w:b/>
      <w:bCs/>
      <w:sz w:val="28"/>
    </w:rPr>
  </w:style>
  <w:style w:type="paragraph" w:customStyle="1" w:styleId="310">
    <w:name w:val="Основной текст с отступом 31"/>
    <w:basedOn w:val="a"/>
    <w:qFormat/>
    <w:pPr>
      <w:widowControl/>
      <w:tabs>
        <w:tab w:val="left" w:pos="709"/>
      </w:tabs>
    </w:pPr>
    <w:rPr>
      <w:rFonts w:ascii="TimesET" w:eastAsia="TimesET" w:hAnsi="TimesET"/>
      <w:sz w:val="20"/>
      <w:szCs w:val="20"/>
    </w:rPr>
  </w:style>
  <w:style w:type="paragraph" w:customStyle="1" w:styleId="afff2">
    <w:name w:val="Готов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Основной текст1"/>
    <w:basedOn w:val="a"/>
    <w:qFormat/>
    <w:rPr>
      <w:rFonts w:eastAsia="Times New Roman"/>
      <w:sz w:val="20"/>
      <w:szCs w:val="20"/>
    </w:rPr>
  </w:style>
  <w:style w:type="paragraph" w:customStyle="1" w:styleId="0">
    <w:name w:val="Заголовок 0"/>
    <w:basedOn w:val="1"/>
    <w:qFormat/>
    <w:pPr>
      <w:keepLines w:val="0"/>
      <w:widowControl/>
      <w:spacing w:before="0"/>
    </w:pPr>
    <w:rPr>
      <w:rFonts w:ascii="Times New Roman" w:hAnsi="Times New Roman"/>
      <w:b w:val="0"/>
      <w:bCs w:val="0"/>
      <w:caps/>
      <w:sz w:val="24"/>
      <w:szCs w:val="24"/>
    </w:rPr>
  </w:style>
  <w:style w:type="paragraph" w:customStyle="1" w:styleId="Iauiue2">
    <w:name w:val="Iau?iue2"/>
    <w:qFormat/>
    <w:pPr>
      <w:widowControl w:val="0"/>
    </w:pPr>
    <w:rPr>
      <w:szCs w:val="20"/>
      <w:lang w:val="en-US" w:eastAsia="ru-RU"/>
    </w:rPr>
  </w:style>
  <w:style w:type="paragraph" w:customStyle="1" w:styleId="afff3">
    <w:name w:val="Ñòèëü"/>
    <w:qFormat/>
    <w:pPr>
      <w:widowControl w:val="0"/>
    </w:pPr>
    <w:rPr>
      <w:spacing w:val="-1"/>
      <w:sz w:val="24"/>
      <w:szCs w:val="20"/>
      <w:vertAlign w:val="subscript"/>
      <w:lang w:val="en-US" w:eastAsia="ru-RU"/>
    </w:rPr>
  </w:style>
  <w:style w:type="paragraph" w:customStyle="1" w:styleId="afff4">
    <w:name w:val="Îáû÷íûé"/>
    <w:qFormat/>
    <w:pPr>
      <w:widowControl w:val="0"/>
    </w:pPr>
    <w:rPr>
      <w:sz w:val="28"/>
      <w:szCs w:val="20"/>
      <w:lang w:eastAsia="ru-RU"/>
    </w:rPr>
  </w:style>
  <w:style w:type="paragraph" w:customStyle="1" w:styleId="Iauiue">
    <w:name w:val="Iau?iue"/>
    <w:qFormat/>
    <w:pPr>
      <w:widowControl w:val="0"/>
    </w:pPr>
    <w:rPr>
      <w:szCs w:val="20"/>
      <w:lang w:eastAsia="ru-RU"/>
    </w:rPr>
  </w:style>
  <w:style w:type="paragraph" w:customStyle="1" w:styleId="27">
    <w:name w:val="Îñíîâíîé òåêñò 2"/>
    <w:basedOn w:val="afff4"/>
    <w:qFormat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8">
    <w:name w:val="Îñíîâíîé òåêñò ñ îòñòóïîì 2"/>
    <w:basedOn w:val="afff4"/>
    <w:qFormat/>
    <w:pPr>
      <w:ind w:left="720"/>
      <w:jc w:val="both"/>
    </w:pPr>
    <w:rPr>
      <w:color w:val="000000"/>
      <w:sz w:val="24"/>
      <w:lang w:val="en-US"/>
    </w:rPr>
  </w:style>
  <w:style w:type="paragraph" w:customStyle="1" w:styleId="13">
    <w:name w:val="çàãîëîâîê 1"/>
    <w:basedOn w:val="afff4"/>
    <w:qFormat/>
    <w:pPr>
      <w:keepNext/>
    </w:pPr>
  </w:style>
  <w:style w:type="paragraph" w:customStyle="1" w:styleId="34">
    <w:name w:val="Îñíîâíîé òåêñò ñ îòñòóïîì 3"/>
    <w:basedOn w:val="afff4"/>
    <w:qFormat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qFormat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qFormat/>
    <w:pPr>
      <w:widowControl/>
      <w:ind w:firstLine="284"/>
      <w:jc w:val="both"/>
    </w:pPr>
    <w:rPr>
      <w:rFonts w:ascii="Peterburg" w:hAnsi="Peterburg"/>
    </w:rPr>
  </w:style>
  <w:style w:type="paragraph" w:customStyle="1" w:styleId="afff5">
    <w:name w:val="основной"/>
    <w:basedOn w:val="a"/>
    <w:qFormat/>
    <w:pPr>
      <w:keepNext/>
      <w:widowControl/>
    </w:pPr>
    <w:rPr>
      <w:rFonts w:eastAsia="Times New Roman"/>
      <w:sz w:val="20"/>
      <w:szCs w:val="20"/>
    </w:rPr>
  </w:style>
  <w:style w:type="paragraph" w:customStyle="1" w:styleId="nienie">
    <w:name w:val="nienie"/>
    <w:basedOn w:val="Iauiue"/>
    <w:qFormat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qFormat/>
    <w:pPr>
      <w:ind w:firstLine="567"/>
    </w:pPr>
    <w:rPr>
      <w:rFonts w:eastAsia="Times New Roman"/>
      <w:b/>
      <w:color w:val="000000"/>
      <w:sz w:val="20"/>
      <w:szCs w:val="20"/>
    </w:rPr>
  </w:style>
  <w:style w:type="paragraph" w:customStyle="1" w:styleId="afff6">
    <w:name w:val="Îñíîâíîé òåêñò"/>
    <w:basedOn w:val="afff4"/>
    <w:qFormat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qFormat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"/>
    <w:qFormat/>
    <w:rPr>
      <w:rFonts w:eastAsia="Times New Roman"/>
      <w:color w:val="000000"/>
      <w:sz w:val="20"/>
      <w:szCs w:val="20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Cs w:val="20"/>
      <w:lang w:eastAsia="ru-RU"/>
    </w:rPr>
  </w:style>
  <w:style w:type="paragraph" w:customStyle="1" w:styleId="35">
    <w:name w:val="çàãîëîâîê 3"/>
    <w:basedOn w:val="afff3"/>
    <w:qFormat/>
    <w:pPr>
      <w:keepNext/>
      <w:spacing w:before="80" w:after="120" w:line="278" w:lineRule="exact"/>
      <w:ind w:right="-149"/>
      <w:jc w:val="center"/>
    </w:pPr>
    <w:rPr>
      <w:b/>
      <w:caps/>
      <w:spacing w:val="0"/>
      <w:lang w:val="ru-RU"/>
    </w:rPr>
  </w:style>
  <w:style w:type="paragraph" w:customStyle="1" w:styleId="ConsPlusNonformat">
    <w:name w:val="ConsPlusNonformat"/>
    <w:qFormat/>
    <w:rPr>
      <w:rFonts w:ascii="Courier New" w:hAnsi="Courier New" w:cs="Courier New"/>
      <w:szCs w:val="20"/>
      <w:lang w:eastAsia="ru-RU"/>
    </w:rPr>
  </w:style>
  <w:style w:type="paragraph" w:styleId="afff7">
    <w:name w:val="Normal (Web)"/>
    <w:basedOn w:val="a"/>
    <w:qFormat/>
    <w:pPr>
      <w:widowControl/>
      <w:spacing w:beforeAutospacing="1" w:afterAutospacing="1"/>
    </w:pPr>
    <w:rPr>
      <w:rFonts w:eastAsia="Times New Roman"/>
    </w:rPr>
  </w:style>
  <w:style w:type="paragraph" w:customStyle="1" w:styleId="afff8">
    <w:name w:val="Пункты"/>
    <w:basedOn w:val="a"/>
    <w:qFormat/>
    <w:pPr>
      <w:shd w:val="clear" w:color="FFFFFF" w:fill="FFFFFF"/>
      <w:spacing w:line="276" w:lineRule="exact"/>
      <w:ind w:hanging="227"/>
    </w:pPr>
    <w:rPr>
      <w:sz w:val="26"/>
      <w:szCs w:val="26"/>
    </w:rPr>
  </w:style>
  <w:style w:type="paragraph" w:customStyle="1" w:styleId="afff9">
    <w:name w:val="Подпункты маркированные"/>
    <w:basedOn w:val="a"/>
    <w:qFormat/>
    <w:pPr>
      <w:tabs>
        <w:tab w:val="left" w:pos="2415"/>
      </w:tabs>
    </w:pPr>
    <w:rPr>
      <w:sz w:val="26"/>
      <w:szCs w:val="26"/>
    </w:rPr>
  </w:style>
  <w:style w:type="paragraph" w:customStyle="1" w:styleId="afffa">
    <w:name w:val="Подпункты Знак"/>
    <w:basedOn w:val="a"/>
    <w:qFormat/>
    <w:pPr>
      <w:ind w:firstLine="720"/>
    </w:pPr>
    <w:rPr>
      <w:sz w:val="28"/>
      <w:szCs w:val="28"/>
    </w:rPr>
  </w:style>
  <w:style w:type="paragraph" w:styleId="29">
    <w:name w:val="toc 2"/>
    <w:basedOn w:val="a"/>
    <w:uiPriority w:val="39"/>
    <w:unhideWhenUsed/>
    <w:pPr>
      <w:spacing w:before="120"/>
      <w:ind w:left="240"/>
      <w:jc w:val="left"/>
    </w:pPr>
    <w:rPr>
      <w:i/>
      <w:iCs/>
      <w:sz w:val="20"/>
      <w:szCs w:val="20"/>
    </w:rPr>
  </w:style>
  <w:style w:type="paragraph" w:styleId="41">
    <w:name w:val="toc 4"/>
    <w:basedOn w:val="a"/>
    <w:uiPriority w:val="39"/>
    <w:unhideWhenUsed/>
    <w:pPr>
      <w:ind w:left="720"/>
      <w:jc w:val="left"/>
    </w:pPr>
    <w:rPr>
      <w:sz w:val="20"/>
      <w:szCs w:val="20"/>
    </w:rPr>
  </w:style>
  <w:style w:type="paragraph" w:styleId="51">
    <w:name w:val="toc 5"/>
    <w:basedOn w:val="a"/>
    <w:uiPriority w:val="39"/>
    <w:unhideWhenUsed/>
    <w:pPr>
      <w:ind w:left="960"/>
      <w:jc w:val="left"/>
    </w:pPr>
    <w:rPr>
      <w:sz w:val="20"/>
      <w:szCs w:val="20"/>
    </w:rPr>
  </w:style>
  <w:style w:type="paragraph" w:styleId="60">
    <w:name w:val="toc 6"/>
    <w:basedOn w:val="a"/>
    <w:uiPriority w:val="39"/>
    <w:unhideWhenUsed/>
    <w:pPr>
      <w:ind w:left="1200"/>
      <w:jc w:val="left"/>
    </w:pPr>
    <w:rPr>
      <w:sz w:val="20"/>
      <w:szCs w:val="20"/>
    </w:rPr>
  </w:style>
  <w:style w:type="paragraph" w:styleId="70">
    <w:name w:val="toc 7"/>
    <w:basedOn w:val="a"/>
    <w:uiPriority w:val="39"/>
    <w:unhideWhenUsed/>
    <w:pPr>
      <w:ind w:left="1440"/>
      <w:jc w:val="left"/>
    </w:pPr>
    <w:rPr>
      <w:sz w:val="20"/>
      <w:szCs w:val="20"/>
    </w:rPr>
  </w:style>
  <w:style w:type="paragraph" w:styleId="80">
    <w:name w:val="toc 8"/>
    <w:basedOn w:val="a"/>
    <w:uiPriority w:val="39"/>
    <w:unhideWhenUsed/>
    <w:pPr>
      <w:ind w:left="1680"/>
      <w:jc w:val="left"/>
    </w:pPr>
    <w:rPr>
      <w:sz w:val="20"/>
      <w:szCs w:val="20"/>
    </w:rPr>
  </w:style>
  <w:style w:type="paragraph" w:styleId="90">
    <w:name w:val="toc 9"/>
    <w:basedOn w:val="a"/>
    <w:uiPriority w:val="39"/>
    <w:unhideWhenUsed/>
    <w:pPr>
      <w:ind w:left="1920"/>
      <w:jc w:val="left"/>
    </w:pPr>
    <w:rPr>
      <w:sz w:val="20"/>
      <w:szCs w:val="20"/>
    </w:rPr>
  </w:style>
  <w:style w:type="paragraph" w:customStyle="1" w:styleId="afffb">
    <w:name w:val="название зоны"/>
    <w:basedOn w:val="a"/>
    <w:qFormat/>
    <w:pPr>
      <w:jc w:val="right"/>
    </w:pPr>
    <w:rPr>
      <w:i/>
    </w:rPr>
  </w:style>
  <w:style w:type="paragraph" w:customStyle="1" w:styleId="afffc">
    <w:name w:val="Название зоны"/>
    <w:basedOn w:val="afffb"/>
    <w:qFormat/>
    <w:pPr>
      <w:ind w:left="2694" w:firstLine="0"/>
      <w:jc w:val="both"/>
    </w:pPr>
    <w:rPr>
      <w:rFonts w:ascii="Candara" w:hAnsi="Candara"/>
      <w:b/>
    </w:rPr>
  </w:style>
  <w:style w:type="paragraph" w:customStyle="1" w:styleId="afffd">
    <w:name w:val="Описание зоны"/>
    <w:basedOn w:val="a"/>
    <w:qFormat/>
    <w:pPr>
      <w:ind w:left="2694" w:firstLine="0"/>
    </w:pPr>
    <w:rPr>
      <w:rFonts w:ascii="Candara" w:hAnsi="Candara"/>
      <w:lang w:bidi="hi-IN"/>
    </w:rPr>
  </w:style>
  <w:style w:type="paragraph" w:customStyle="1" w:styleId="afffe">
    <w:name w:val="Осн виды"/>
    <w:basedOn w:val="a"/>
    <w:qFormat/>
    <w:pPr>
      <w:ind w:firstLine="0"/>
      <w:jc w:val="center"/>
    </w:pPr>
    <w:rPr>
      <w:i/>
      <w:lang w:bidi="hi-IN"/>
    </w:rPr>
  </w:style>
  <w:style w:type="paragraph" w:customStyle="1" w:styleId="affff">
    <w:name w:val="список разреш испол"/>
    <w:basedOn w:val="affe"/>
    <w:qFormat/>
    <w:pPr>
      <w:jc w:val="left"/>
    </w:pPr>
    <w:rPr>
      <w:lang w:bidi="hi-IN"/>
    </w:rPr>
  </w:style>
  <w:style w:type="paragraph" w:styleId="affff0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ff1">
    <w:name w:val="annotation subject"/>
    <w:basedOn w:val="affff0"/>
    <w:uiPriority w:val="99"/>
    <w:semiHidden/>
    <w:unhideWhenUsed/>
    <w:qFormat/>
    <w:rPr>
      <w:b/>
      <w:bCs/>
    </w:rPr>
  </w:style>
  <w:style w:type="paragraph" w:styleId="affff2">
    <w:name w:val="No Spacing"/>
    <w:uiPriority w:val="1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customStyle="1" w:styleId="00">
    <w:name w:val="Основной текст 0"/>
    <w:basedOn w:val="a"/>
    <w:qFormat/>
    <w:pPr>
      <w:widowControl/>
      <w:ind w:firstLine="539"/>
    </w:pPr>
    <w:rPr>
      <w:rFonts w:eastAsia="Calibri"/>
      <w:color w:val="000000"/>
      <w:lang w:eastAsia="en-US"/>
    </w:rPr>
  </w:style>
  <w:style w:type="paragraph" w:customStyle="1" w:styleId="western">
    <w:name w:val="western"/>
    <w:basedOn w:val="a"/>
    <w:uiPriority w:val="99"/>
    <w:qFormat/>
    <w:pPr>
      <w:widowControl/>
      <w:shd w:val="clear" w:color="FFFFFF" w:fill="FFFFFF"/>
      <w:spacing w:beforeAutospacing="1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Main0">
    <w:name w:val="Main"/>
    <w:basedOn w:val="a"/>
    <w:qFormat/>
    <w:pPr>
      <w:widowControl/>
    </w:pPr>
    <w:rPr>
      <w:rFonts w:eastAsia="Calibri"/>
      <w:sz w:val="28"/>
      <w:szCs w:val="28"/>
      <w:lang w:val="en-US" w:eastAsia="en-US"/>
    </w:rPr>
  </w:style>
  <w:style w:type="paragraph" w:customStyle="1" w:styleId="affff3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  <w:spacing w:line="276" w:lineRule="auto"/>
    </w:pPr>
    <w:rPr>
      <w:sz w:val="24"/>
      <w:szCs w:val="24"/>
      <w:lang w:eastAsia="ru-RU"/>
    </w:rPr>
  </w:style>
  <w:style w:type="paragraph" w:customStyle="1" w:styleId="affff4">
    <w:name w:val="Содержимое таблицы"/>
    <w:basedOn w:val="a"/>
    <w:qFormat/>
    <w:pPr>
      <w:suppressLineNumbers/>
    </w:pPr>
    <w:rPr>
      <w:lang w:eastAsia="ar-SA"/>
    </w:rPr>
  </w:style>
  <w:style w:type="paragraph" w:customStyle="1" w:styleId="affff5">
    <w:name w:val="Заголовок таблицы"/>
    <w:basedOn w:val="affff4"/>
    <w:qFormat/>
    <w:pPr>
      <w:jc w:val="center"/>
    </w:pPr>
    <w:rPr>
      <w:b/>
      <w:bCs/>
    </w:rPr>
  </w:style>
  <w:style w:type="paragraph" w:customStyle="1" w:styleId="affff6">
    <w:name w:val="текст"/>
    <w:basedOn w:val="a"/>
    <w:qFormat/>
    <w:pPr>
      <w:suppressAutoHyphens w:val="0"/>
      <w:spacing w:before="120" w:after="120"/>
    </w:pPr>
    <w:rPr>
      <w:sz w:val="28"/>
      <w:szCs w:val="28"/>
    </w:rPr>
  </w:style>
  <w:style w:type="paragraph" w:customStyle="1" w:styleId="affff7">
    <w:name w:val="Прижатый влево"/>
    <w:basedOn w:val="a"/>
    <w:next w:val="a"/>
    <w:qFormat/>
    <w:rPr>
      <w:rFonts w:ascii="Times New Roman CYR" w:eastAsia="Times New Roman" w:hAnsi="Times New Roman CYR" w:cs="Times New Roman CYR"/>
    </w:rPr>
  </w:style>
  <w:style w:type="table" w:styleId="affff8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CSTP</dc:creator>
  <dc:description/>
  <cp:lastModifiedBy>LENOVO</cp:lastModifiedBy>
  <cp:revision>201</cp:revision>
  <dcterms:created xsi:type="dcterms:W3CDTF">2024-04-11T13:41:00Z</dcterms:created>
  <dcterms:modified xsi:type="dcterms:W3CDTF">2024-05-15T12:59:00Z</dcterms:modified>
  <dc:language>ru-RU</dc:language>
</cp:coreProperties>
</file>