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19" w:rsidRDefault="00373AA9" w:rsidP="003637FB">
      <w:pPr>
        <w:ind w:left="5670" w:firstLine="0"/>
        <w:jc w:val="left"/>
      </w:pPr>
      <w:r>
        <w:rPr>
          <w:rFonts w:eastAsia="Calibri"/>
          <w:color w:val="000000"/>
          <w:lang w:eastAsia="en-US"/>
        </w:rPr>
        <w:t>Приложение № 3</w:t>
      </w:r>
    </w:p>
    <w:p w:rsidR="004D6119" w:rsidRDefault="00373AA9" w:rsidP="003637FB">
      <w:pPr>
        <w:ind w:left="5670" w:firstLine="0"/>
        <w:jc w:val="left"/>
      </w:pPr>
      <w:r>
        <w:rPr>
          <w:rFonts w:eastAsia="Calibri"/>
          <w:color w:val="000000"/>
          <w:lang w:eastAsia="en-US"/>
        </w:rPr>
        <w:t xml:space="preserve">к постановлению </w:t>
      </w:r>
      <w:r>
        <w:rPr>
          <w:color w:val="000000"/>
        </w:rPr>
        <w:t>главного управления архитектуры и градостроительства Рязанской области</w:t>
      </w:r>
    </w:p>
    <w:p w:rsidR="004D6119" w:rsidRDefault="00D558D0" w:rsidP="003637FB">
      <w:pPr>
        <w:ind w:left="5670" w:firstLine="0"/>
        <w:jc w:val="lef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14 мая 2024 г.</w:t>
      </w:r>
      <w:r w:rsidR="00373AA9">
        <w:rPr>
          <w:rFonts w:eastAsia="Calibri"/>
          <w:color w:val="000000"/>
          <w:lang w:eastAsia="en-US"/>
        </w:rPr>
        <w:t xml:space="preserve"> №</w:t>
      </w:r>
      <w:r>
        <w:rPr>
          <w:rFonts w:eastAsia="Calibri"/>
          <w:color w:val="000000"/>
          <w:lang w:eastAsia="en-US"/>
        </w:rPr>
        <w:t xml:space="preserve"> 220-п</w:t>
      </w:r>
      <w:bookmarkStart w:id="0" w:name="_GoBack"/>
      <w:bookmarkEnd w:id="0"/>
    </w:p>
    <w:p w:rsidR="004D6119" w:rsidRDefault="004D6119">
      <w:pPr>
        <w:spacing w:line="280" w:lineRule="exact"/>
        <w:ind w:left="5102"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4D6119" w:rsidRDefault="00373AA9">
      <w:pPr>
        <w:pStyle w:val="aff"/>
        <w:ind w:firstLine="737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«</w:t>
      </w:r>
      <w:r>
        <w:rPr>
          <w:b/>
          <w:bCs/>
          <w:color w:val="000000"/>
          <w:sz w:val="28"/>
          <w:szCs w:val="28"/>
        </w:rPr>
        <w:t>Статья 1</w:t>
      </w:r>
      <w:r>
        <w:rPr>
          <w:rFonts w:eastAsia="Arial"/>
          <w:b/>
          <w:bCs/>
          <w:color w:val="000000"/>
          <w:spacing w:val="4"/>
          <w:sz w:val="28"/>
          <w:szCs w:val="28"/>
          <w:lang w:eastAsia="zh-CN"/>
        </w:rPr>
        <w:t>3</w:t>
      </w:r>
      <w:r>
        <w:rPr>
          <w:b/>
          <w:bCs/>
          <w:color w:val="000000"/>
          <w:sz w:val="28"/>
          <w:szCs w:val="28"/>
        </w:rPr>
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 </w:t>
      </w:r>
      <w:r>
        <w:rPr>
          <w:b/>
          <w:bCs/>
          <w:color w:val="000000"/>
          <w:spacing w:val="4"/>
          <w:sz w:val="28"/>
          <w:szCs w:val="28"/>
          <w:shd w:val="clear" w:color="auto" w:fill="FFFFFF"/>
          <w:lang w:eastAsia="hi-IN"/>
        </w:rPr>
        <w:t>применительно к территории, в границах которой предусматривается осуществление деятельности по комплексному развитию территории</w:t>
      </w:r>
    </w:p>
    <w:p w:rsidR="004D6119" w:rsidRDefault="00373AA9">
      <w:pPr>
        <w:pStyle w:val="aff"/>
        <w:contextualSpacing/>
        <w:rPr>
          <w:color w:val="000000"/>
          <w:sz w:val="28"/>
          <w:szCs w:val="28"/>
          <w:lang w:eastAsia="hi-IN"/>
        </w:rPr>
      </w:pPr>
      <w:r>
        <w:rPr>
          <w:color w:val="000000"/>
          <w:spacing w:val="4"/>
          <w:sz w:val="28"/>
          <w:szCs w:val="28"/>
          <w:shd w:val="clear" w:color="auto" w:fill="FFFFFF"/>
          <w:lang w:eastAsia="hi-IN"/>
        </w:rPr>
        <w:t xml:space="preserve">Расчетные показатели минимально допустимого уровня обеспеченности соответствующей территории объектами коммунальной, 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территории, </w:t>
      </w:r>
      <w:r>
        <w:rPr>
          <w:rFonts w:eastAsia="Arial"/>
          <w:color w:val="000000"/>
          <w:spacing w:val="4"/>
          <w:sz w:val="28"/>
          <w:szCs w:val="28"/>
          <w:shd w:val="clear" w:color="auto" w:fill="FFFFFF"/>
          <w:lang w:eastAsia="zh-CN"/>
        </w:rPr>
        <w:t>представлены в таблице ниже.</w:t>
      </w:r>
    </w:p>
    <w:tbl>
      <w:tblPr>
        <w:tblW w:w="9688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3118"/>
        <w:gridCol w:w="2763"/>
      </w:tblGrid>
      <w:tr w:rsidR="004D6119">
        <w:trPr>
          <w:trHeight w:val="450"/>
          <w:tblHeader/>
        </w:trPr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19" w:rsidRDefault="00373AA9">
            <w:pPr>
              <w:pStyle w:val="affff4"/>
              <w:jc w:val="center"/>
            </w:pPr>
            <w:r>
              <w:rPr>
                <w:color w:val="000000"/>
              </w:rPr>
              <w:t xml:space="preserve">Наименование </w:t>
            </w:r>
            <w:r>
              <w:rPr>
                <w:rFonts w:eastAsia="Calibri" w:cs="Calibri"/>
                <w:color w:val="000000"/>
                <w:lang w:eastAsia="zh-CN"/>
              </w:rPr>
              <w:t>объекта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19" w:rsidRDefault="00373AA9">
            <w:pPr>
              <w:pStyle w:val="affff4"/>
              <w:jc w:val="center"/>
            </w:pPr>
            <w:r>
              <w:rPr>
                <w:color w:val="000000"/>
              </w:rPr>
              <w:t>Значение расчетного п</w:t>
            </w:r>
            <w:r>
              <w:rPr>
                <w:rFonts w:eastAsia="Calibri" w:cs="Calibri"/>
                <w:color w:val="000000"/>
                <w:lang w:eastAsia="zh-CN"/>
              </w:rPr>
              <w:t>оказателя</w:t>
            </w:r>
          </w:p>
        </w:tc>
      </w:tr>
      <w:tr w:rsidR="004D6119">
        <w:trPr>
          <w:tblHeader/>
        </w:trPr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19" w:rsidRDefault="004D6119">
            <w:pPr>
              <w:pStyle w:val="affff4"/>
              <w:jc w:val="center"/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19" w:rsidRDefault="00373AA9">
            <w:pPr>
              <w:pStyle w:val="aff"/>
              <w:widowControl w:val="0"/>
              <w:ind w:firstLine="0"/>
              <w:contextualSpacing/>
              <w:jc w:val="center"/>
            </w:pPr>
            <w:r>
              <w:rPr>
                <w:rFonts w:eastAsia="Arial"/>
                <w:color w:val="000000"/>
                <w:spacing w:val="4"/>
                <w:lang w:eastAsia="zh-CN"/>
              </w:rPr>
              <w:t>Минимально допустимый уровень обеспеченности территории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19" w:rsidRDefault="00373AA9">
            <w:pPr>
              <w:pStyle w:val="aff"/>
              <w:widowControl w:val="0"/>
              <w:ind w:firstLine="0"/>
              <w:contextualSpacing/>
              <w:jc w:val="center"/>
            </w:pPr>
            <w:r>
              <w:rPr>
                <w:rFonts w:eastAsia="Arial"/>
                <w:color w:val="000000"/>
                <w:spacing w:val="4"/>
                <w:lang w:eastAsia="zh-CN"/>
              </w:rPr>
              <w:t>Максимально допустимый уровень территориальной  доступности</w:t>
            </w:r>
          </w:p>
        </w:tc>
      </w:tr>
      <w:tr w:rsidR="004D6119">
        <w:trPr>
          <w:trHeight w:val="52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left="113" w:firstLine="0"/>
              <w:jc w:val="left"/>
            </w:pPr>
            <w:r>
              <w:t>Дошкольн</w:t>
            </w:r>
            <w:r>
              <w:rPr>
                <w:rFonts w:eastAsia="Calibri" w:cs="Calibri"/>
                <w:lang w:eastAsia="zh-CN"/>
              </w:rPr>
              <w:t>ая</w:t>
            </w:r>
            <w:r>
              <w:t xml:space="preserve"> образовательн</w:t>
            </w:r>
            <w:r>
              <w:rPr>
                <w:rFonts w:eastAsia="Calibri" w:cs="Calibri"/>
                <w:lang w:eastAsia="zh-CN"/>
              </w:rPr>
              <w:t xml:space="preserve">ая </w:t>
            </w:r>
            <w:r>
              <w:t>организация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37</w:t>
            </w:r>
            <w:r>
              <w:t xml:space="preserve"> мест на 1 тыс. чел.</w:t>
            </w:r>
          </w:p>
          <w:p w:rsidR="004D6119" w:rsidRDefault="004D6119">
            <w:pPr>
              <w:pStyle w:val="affff4"/>
              <w:jc w:val="center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</w:t>
            </w:r>
            <w:r>
              <w:t>00 м*</w:t>
            </w:r>
          </w:p>
        </w:tc>
      </w:tr>
      <w:tr w:rsidR="004D6119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left="113" w:firstLine="0"/>
              <w:jc w:val="left"/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  <w:p w:rsidR="004D6119" w:rsidRDefault="00373AA9">
            <w:pPr>
              <w:pStyle w:val="affff4"/>
              <w:ind w:left="113" w:firstLine="0"/>
              <w:jc w:val="left"/>
            </w:pPr>
            <w:r>
              <w:rPr>
                <w:rFonts w:eastAsia="Times New Roman"/>
                <w:lang w:eastAsia="ru-RU"/>
              </w:rPr>
              <w:t>организация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134 </w:t>
            </w:r>
            <w:r>
              <w:t>мест на 1 тыс. чел.</w:t>
            </w:r>
          </w:p>
          <w:p w:rsidR="004D6119" w:rsidRDefault="004D6119">
            <w:pPr>
              <w:pStyle w:val="affff4"/>
              <w:jc w:val="center"/>
            </w:pP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1000 м*</w:t>
            </w:r>
          </w:p>
        </w:tc>
      </w:tr>
      <w:tr w:rsidR="004D6119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7"/>
              <w:ind w:left="113" w:firstLine="0"/>
              <w:jc w:val="left"/>
            </w:pPr>
            <w:r>
              <w:rPr>
                <w:rFonts w:ascii="Times New Roman" w:hAnsi="Times New Roman" w:cs="Times New Roman"/>
              </w:rPr>
              <w:t>Помещения для спортивных занятий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6</w:t>
            </w:r>
            <w:r>
              <w:t xml:space="preserve">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площади пола спортивного зала</w:t>
            </w:r>
          </w:p>
          <w:p w:rsidR="004D6119" w:rsidRDefault="00373AA9">
            <w:pPr>
              <w:pStyle w:val="affff4"/>
              <w:ind w:firstLine="0"/>
              <w:jc w:val="center"/>
            </w:pPr>
            <w:r>
              <w:t>на 1 тыс. 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1000 м**</w:t>
            </w:r>
          </w:p>
        </w:tc>
      </w:tr>
      <w:tr w:rsidR="004D6119">
        <w:trPr>
          <w:trHeight w:val="3323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szCs w:val="22"/>
                <w:lang w:eastAsia="zh-CN"/>
              </w:rPr>
              <w:t>Площадки различного назначения для многоквартирного жилого дома</w:t>
            </w:r>
            <w:r>
              <w:t>: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t xml:space="preserve">- </w:t>
            </w:r>
            <w:r>
              <w:rPr>
                <w:rFonts w:eastAsia="Calibri" w:cs="Calibri"/>
                <w:szCs w:val="22"/>
                <w:lang w:eastAsia="zh-CN"/>
              </w:rPr>
              <w:t>детские игровые площадки;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t>- площадки для занятий физкультурой взрослого населения;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t>- площадки отдыха взрослого населения;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t>- контейнерные площадки сбора ТКО;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t xml:space="preserve">- озелененная </w:t>
            </w:r>
            <w:proofErr w:type="gramStart"/>
            <w:r>
              <w:t>территория</w:t>
            </w:r>
            <w:proofErr w:type="gramEnd"/>
            <w:r>
              <w:t xml:space="preserve"> </w:t>
            </w:r>
            <w:r>
              <w:rPr>
                <w:rFonts w:eastAsia="Times New Roman"/>
                <w:lang w:eastAsia="ru-RU"/>
              </w:rPr>
              <w:t>занятая газоном и древесно-кустарниковой растительностью***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4D6119">
            <w:pPr>
              <w:pStyle w:val="affff4"/>
              <w:jc w:val="center"/>
            </w:pPr>
          </w:p>
          <w:p w:rsidR="004D6119" w:rsidRDefault="004D6119">
            <w:pPr>
              <w:pStyle w:val="affff4"/>
              <w:jc w:val="center"/>
            </w:pPr>
          </w:p>
          <w:p w:rsidR="004D6119" w:rsidRDefault="004D6119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0,4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</w:t>
            </w:r>
            <w:r>
              <w:t>на 1 чел.</w:t>
            </w:r>
          </w:p>
          <w:p w:rsidR="004D6119" w:rsidRDefault="00373AA9">
            <w:pPr>
              <w:pStyle w:val="affff4"/>
              <w:ind w:firstLine="0"/>
              <w:jc w:val="center"/>
            </w:pPr>
            <w:r>
              <w:t>0,</w:t>
            </w:r>
            <w:r>
              <w:rPr>
                <w:rFonts w:eastAsia="Calibri" w:cs="Calibri"/>
                <w:lang w:eastAsia="zh-CN"/>
              </w:rPr>
              <w:t>5</w:t>
            </w:r>
            <w:r>
              <w:t xml:space="preserve">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</w:t>
            </w:r>
            <w:r>
              <w:t>на 1 чел.</w:t>
            </w:r>
          </w:p>
          <w:p w:rsidR="004D6119" w:rsidRDefault="004D6119">
            <w:pPr>
              <w:pStyle w:val="affff4"/>
              <w:jc w:val="center"/>
              <w:rPr>
                <w:rFonts w:eastAsia="Calibri" w:cs="Calibri"/>
                <w:lang w:eastAsia="zh-CN"/>
              </w:rPr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0,1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на 1 чел.</w:t>
            </w:r>
          </w:p>
          <w:p w:rsidR="004D6119" w:rsidRDefault="004D6119">
            <w:pPr>
              <w:pStyle w:val="affff4"/>
              <w:jc w:val="center"/>
              <w:rPr>
                <w:rFonts w:eastAsia="Calibri" w:cs="Calibri"/>
                <w:lang w:eastAsia="zh-CN"/>
              </w:rPr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0,03 </w:t>
            </w:r>
            <w:proofErr w:type="spellStart"/>
            <w:r>
              <w:rPr>
                <w:rStyle w:val="afd"/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/>
              </w:rPr>
              <w:t xml:space="preserve"> на 1 чел.</w:t>
            </w:r>
          </w:p>
          <w:p w:rsidR="004D6119" w:rsidRDefault="004D6119">
            <w:pPr>
              <w:pStyle w:val="affff4"/>
              <w:jc w:val="center"/>
              <w:rPr>
                <w:rFonts w:eastAsia="Calibri" w:cs="Calibri"/>
                <w:color w:val="000000"/>
                <w:lang w:eastAsia="zh-CN"/>
              </w:rPr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2,0 </w:t>
            </w:r>
            <w:proofErr w:type="spell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на 1 </w:t>
            </w:r>
            <w:r>
              <w:rPr>
                <w:rStyle w:val="afd"/>
                <w:color w:val="000000"/>
              </w:rPr>
              <w:t>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4D6119">
            <w:pPr>
              <w:pStyle w:val="affff4"/>
              <w:jc w:val="center"/>
            </w:pPr>
          </w:p>
          <w:p w:rsidR="004D6119" w:rsidRDefault="004D6119">
            <w:pPr>
              <w:pStyle w:val="affff4"/>
              <w:jc w:val="center"/>
            </w:pPr>
          </w:p>
          <w:p w:rsidR="004D6119" w:rsidRDefault="004D6119">
            <w:pPr>
              <w:pStyle w:val="affff4"/>
              <w:ind w:firstLine="0"/>
              <w:jc w:val="center"/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t>100 м</w:t>
            </w:r>
          </w:p>
          <w:p w:rsidR="004D6119" w:rsidRDefault="00373AA9">
            <w:pPr>
              <w:pStyle w:val="affff4"/>
              <w:ind w:firstLine="0"/>
              <w:jc w:val="center"/>
            </w:pPr>
            <w:r>
              <w:t>800 м</w:t>
            </w:r>
          </w:p>
          <w:p w:rsidR="004D6119" w:rsidRDefault="004D6119">
            <w:pPr>
              <w:pStyle w:val="affff4"/>
              <w:ind w:firstLine="0"/>
              <w:jc w:val="center"/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t>100 м</w:t>
            </w:r>
          </w:p>
          <w:p w:rsidR="004D6119" w:rsidRDefault="004D6119">
            <w:pPr>
              <w:pStyle w:val="affff4"/>
              <w:ind w:firstLine="0"/>
              <w:jc w:val="center"/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rPr>
                <w:szCs w:val="22"/>
              </w:rPr>
              <w:t>0 м</w:t>
            </w:r>
          </w:p>
          <w:p w:rsidR="004D6119" w:rsidRDefault="004D6119">
            <w:pPr>
              <w:pStyle w:val="affff4"/>
              <w:ind w:firstLine="0"/>
              <w:jc w:val="center"/>
            </w:pPr>
          </w:p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 м</w:t>
            </w:r>
          </w:p>
        </w:tc>
      </w:tr>
      <w:tr w:rsidR="004D6119">
        <w:trPr>
          <w:trHeight w:val="887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t>Плоскостные физкультурно-спортивные сооружения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Times New Roman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lang w:eastAsia="ru-RU"/>
              </w:rPr>
              <w:t>территори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ях общего пользования</w:t>
            </w:r>
            <w:r>
              <w:rPr>
                <w:rFonts w:eastAsia="Times New Roman"/>
                <w:color w:val="000000"/>
                <w:lang w:eastAsia="ru-RU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t xml:space="preserve">1,0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</w:rPr>
              <w:t>на 1 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1000 м</w:t>
            </w:r>
          </w:p>
        </w:tc>
      </w:tr>
      <w:tr w:rsidR="004D6119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lastRenderedPageBreak/>
              <w:t>О</w:t>
            </w:r>
            <w:r>
              <w:rPr>
                <w:color w:val="000000"/>
              </w:rPr>
              <w:t>зелененны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е</w:t>
            </w:r>
            <w:r>
              <w:rPr>
                <w:color w:val="000000"/>
              </w:rPr>
              <w:t xml:space="preserve"> территори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 xml:space="preserve">и </w:t>
            </w:r>
            <w:r>
              <w:rPr>
                <w:color w:val="000000"/>
              </w:rPr>
              <w:t>общего пользования (парки, скверы, сады, бульвары)</w:t>
            </w:r>
            <w:r>
              <w:rPr>
                <w:rFonts w:eastAsia="Times New Roman"/>
                <w:color w:val="000000"/>
                <w:lang w:eastAsia="ru-RU"/>
              </w:rPr>
              <w:t>*</w:t>
            </w: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Style w:val="afd"/>
                <w:rFonts w:eastAsia="Calibri" w:cs="Calibri"/>
                <w:color w:val="000000"/>
                <w:lang w:eastAsia="zh-CN"/>
              </w:rPr>
              <w:t>1,</w:t>
            </w:r>
            <w:r>
              <w:rPr>
                <w:rStyle w:val="afd"/>
                <w:rFonts w:eastAsia="Calibri" w:cs="Calibri"/>
                <w:color w:val="000000"/>
                <w:lang w:val="en-US" w:eastAsia="zh-CN"/>
              </w:rPr>
              <w:t>7</w:t>
            </w:r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кв</w:t>
            </w:r>
            <w:proofErr w:type="gram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на 1 </w:t>
            </w:r>
            <w:r>
              <w:rPr>
                <w:rStyle w:val="afd"/>
                <w:color w:val="000000"/>
              </w:rPr>
              <w:t>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1200 м</w:t>
            </w:r>
          </w:p>
        </w:tc>
      </w:tr>
      <w:tr w:rsidR="004D6119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color w:val="000000"/>
              </w:rPr>
              <w:t xml:space="preserve">Количество парковочных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 </w:t>
            </w:r>
            <w:r>
              <w:rPr>
                <w:rFonts w:eastAsia="Calibri" w:cs="Calibri"/>
                <w:szCs w:val="22"/>
                <w:lang w:eastAsia="zh-CN"/>
              </w:rPr>
              <w:t>для многоквартирного жилого дома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на 86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 общей площади квартир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200</w:t>
            </w:r>
          </w:p>
        </w:tc>
      </w:tr>
      <w:tr w:rsidR="004D6119"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Количество парковочных </w:t>
            </w:r>
            <w:proofErr w:type="spellStart"/>
            <w:proofErr w:type="gramStart"/>
            <w:r>
              <w:rPr>
                <w:rStyle w:val="afd"/>
                <w:rFonts w:eastAsia="Calibri" w:cs="Calibri"/>
                <w:color w:val="000000"/>
                <w:lang w:eastAsia="zh-CN"/>
              </w:rPr>
              <w:t>машино</w:t>
            </w:r>
            <w:proofErr w:type="spellEnd"/>
            <w:r>
              <w:rPr>
                <w:rStyle w:val="afd"/>
                <w:rFonts w:eastAsia="Calibri" w:cs="Calibri"/>
                <w:color w:val="000000"/>
                <w:lang w:eastAsia="zh-CN"/>
              </w:rPr>
              <w:t>-мест</w:t>
            </w:r>
            <w:proofErr w:type="gramEnd"/>
            <w:r>
              <w:rPr>
                <w:rStyle w:val="afd"/>
                <w:rFonts w:eastAsia="Calibri" w:cs="Calibri"/>
                <w:color w:val="000000"/>
                <w:lang w:eastAsia="zh-CN"/>
              </w:rPr>
              <w:t xml:space="preserve"> </w:t>
            </w:r>
            <w:r>
              <w:rPr>
                <w:rStyle w:val="afd"/>
                <w:rFonts w:eastAsia="Calibri" w:cs="Calibri"/>
                <w:szCs w:val="22"/>
                <w:lang w:eastAsia="zh-CN"/>
              </w:rPr>
              <w:t>для объектов обслуживая жилой застройки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Согласно</w:t>
            </w:r>
            <w:r>
              <w:t xml:space="preserve"> СП 42.13330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Согласно</w:t>
            </w:r>
            <w:r>
              <w:t xml:space="preserve"> СП 42.13330</w:t>
            </w:r>
          </w:p>
        </w:tc>
      </w:tr>
      <w:tr w:rsidR="004D6119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color w:val="000000"/>
              </w:rPr>
              <w:t>водо</w:t>
            </w:r>
            <w:r>
              <w:rPr>
                <w:rFonts w:eastAsia="Calibri" w:cs="Calibri"/>
                <w:color w:val="000000"/>
                <w:lang w:eastAsia="zh-CN"/>
              </w:rPr>
              <w:t>снабжения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rPr>
                <w:color w:val="000000"/>
              </w:rPr>
              <w:t>(объем водопотребления)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140 л/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сут</w:t>
            </w:r>
            <w:proofErr w:type="spellEnd"/>
            <w:r>
              <w:rPr>
                <w:rFonts w:eastAsia="Calibri" w:cs="Calibri"/>
                <w:color w:val="000000"/>
                <w:lang w:eastAsia="zh-CN"/>
              </w:rPr>
              <w:t>. на 1 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Не нормируется</w:t>
            </w:r>
          </w:p>
        </w:tc>
      </w:tr>
      <w:tr w:rsidR="004D6119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Объекты водоотведения</w:t>
            </w:r>
          </w:p>
          <w:p w:rsidR="004D6119" w:rsidRDefault="00373AA9">
            <w:pPr>
              <w:pStyle w:val="affff4"/>
              <w:ind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(объем водоотведения)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140 л/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сут</w:t>
            </w:r>
            <w:proofErr w:type="spellEnd"/>
            <w:r>
              <w:rPr>
                <w:rFonts w:eastAsia="Calibri" w:cs="Calibri"/>
                <w:color w:val="000000"/>
                <w:lang w:eastAsia="zh-CN"/>
              </w:rPr>
              <w:t>. на 1 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4D6119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rFonts w:eastAsia="Times New Roman"/>
              </w:rPr>
              <w:t>электроснабжения</w:t>
            </w:r>
          </w:p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Times New Roman"/>
              </w:rPr>
              <w:t>(объем электропотребления)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 xml:space="preserve">950 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кВт·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color w:val="000000"/>
                <w:lang w:eastAsia="zh-CN"/>
              </w:rPr>
              <w:t>/чел в год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4D6119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proofErr w:type="spellStart"/>
            <w:r>
              <w:t>газопотребления</w:t>
            </w:r>
            <w:proofErr w:type="spellEnd"/>
          </w:p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t xml:space="preserve">(объем </w:t>
            </w:r>
            <w:proofErr w:type="spellStart"/>
            <w:r>
              <w:t>газопотребления</w:t>
            </w:r>
            <w:proofErr w:type="spellEnd"/>
            <w: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220 м3/год на 1 чел.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Не нормируется</w:t>
            </w:r>
          </w:p>
        </w:tc>
      </w:tr>
      <w:tr w:rsidR="004D6119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Calibri" w:cs="Calibri"/>
                <w:color w:val="000000"/>
                <w:lang w:eastAsia="zh-CN"/>
              </w:rPr>
              <w:t xml:space="preserve">Объекты </w:t>
            </w:r>
            <w:r>
              <w:rPr>
                <w:rFonts w:eastAsia="Times New Roman"/>
                <w:color w:val="000000"/>
              </w:rPr>
              <w:t xml:space="preserve"> теплоснабжения</w:t>
            </w:r>
          </w:p>
          <w:p w:rsidR="004D6119" w:rsidRDefault="00373AA9">
            <w:pPr>
              <w:snapToGrid w:val="0"/>
              <w:ind w:left="28" w:firstLine="0"/>
              <w:contextualSpacing/>
              <w:jc w:val="left"/>
              <w:textAlignment w:val="baseline"/>
            </w:pPr>
            <w:r>
              <w:rPr>
                <w:rFonts w:eastAsia="Times New Roman"/>
                <w:color w:val="000000"/>
              </w:rPr>
              <w:t>(расход тепловой энергии на отопление и вентиляцию здания)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0,290 Вт/(</w:t>
            </w:r>
            <w:proofErr w:type="spellStart"/>
            <w:r>
              <w:rPr>
                <w:rFonts w:eastAsia="Calibri" w:cs="Calibri"/>
                <w:color w:val="000000"/>
                <w:lang w:eastAsia="zh-CN"/>
              </w:rPr>
              <w:t>куб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000000"/>
                <w:lang w:eastAsia="zh-CN"/>
              </w:rPr>
              <w:t>·°C)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lang w:eastAsia="zh-CN"/>
              </w:rPr>
              <w:t>Не нормируется</w:t>
            </w:r>
          </w:p>
        </w:tc>
      </w:tr>
      <w:tr w:rsidR="004D6119">
        <w:trPr>
          <w:trHeight w:val="454"/>
        </w:trPr>
        <w:tc>
          <w:tcPr>
            <w:tcW w:w="9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19" w:rsidRDefault="00373AA9">
            <w:pPr>
              <w:pStyle w:val="affff7"/>
              <w:ind w:left="57"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 xml:space="preserve">* При расстояниях, свыше указанных, организуется транспортное обслуживание 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>(до организации и обратно). Расстояние транспортного обслуживания не должно</w:t>
            </w:r>
          </w:p>
          <w:p w:rsidR="004D6119" w:rsidRDefault="00373AA9">
            <w:pPr>
              <w:pStyle w:val="affff7"/>
              <w:ind w:left="57"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превышать 30 км в одну сторону.</w:t>
            </w:r>
          </w:p>
          <w:p w:rsidR="004D6119" w:rsidRDefault="00373AA9">
            <w:pPr>
              <w:ind w:left="57"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** Транспортная доступность до п</w:t>
            </w:r>
            <w:r>
              <w:rPr>
                <w:rFonts w:eastAsia="Times New Roman"/>
                <w:color w:val="000000"/>
              </w:rPr>
              <w:t xml:space="preserve">омещений для спортивных занятий </w:t>
            </w:r>
            <w:r>
              <w:rPr>
                <w:rFonts w:eastAsia="Calibri" w:cs="Calibri"/>
                <w:color w:val="000000"/>
                <w:lang w:eastAsia="zh-CN"/>
              </w:rPr>
              <w:t>составляет 90 мин.</w:t>
            </w:r>
          </w:p>
          <w:p w:rsidR="004D6119" w:rsidRDefault="00373AA9">
            <w:pPr>
              <w:pStyle w:val="affff7"/>
              <w:ind w:left="57"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*** Плотность древесно-кустарниковой растительности составляет 100 единиц на 1 га озелененной территории.</w:t>
            </w:r>
          </w:p>
          <w:p w:rsidR="004D6119" w:rsidRDefault="00373AA9">
            <w:pPr>
              <w:pStyle w:val="affff4"/>
              <w:ind w:left="57" w:firstLine="0"/>
              <w:jc w:val="left"/>
            </w:pPr>
            <w:r>
              <w:rPr>
                <w:rFonts w:eastAsia="Times New Roman"/>
                <w:color w:val="000000"/>
                <w:lang w:eastAsia="ru-RU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lang w:eastAsia="zh-CN"/>
              </w:rPr>
              <w:t>Размер вновь создаваемой территории общего пользования под плоскостные физкультурно-спортивные сооружения должен быть не менее 0,1 га.</w:t>
            </w:r>
          </w:p>
          <w:p w:rsidR="004D6119" w:rsidRDefault="00373AA9">
            <w:pPr>
              <w:pStyle w:val="affff7"/>
              <w:ind w:left="57" w:firstLine="0"/>
              <w:jc w:val="left"/>
            </w:pPr>
            <w:r>
              <w:rPr>
                <w:rFonts w:eastAsia="Calibri" w:cs="Calibri"/>
                <w:color w:val="000000"/>
                <w:lang w:eastAsia="zh-CN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5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 Размер вновь создаваемой озелененной территории общего пользования должен 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>быть не менее 0,5 га.</w:t>
            </w:r>
          </w:p>
        </w:tc>
      </w:tr>
    </w:tbl>
    <w:p w:rsidR="004D6119" w:rsidRDefault="00373AA9">
      <w:pPr>
        <w:pStyle w:val="aff"/>
        <w:ind w:firstLine="567"/>
        <w:contextualSpacing/>
        <w:rPr>
          <w:sz w:val="28"/>
          <w:szCs w:val="28"/>
        </w:rPr>
      </w:pPr>
      <w:r>
        <w:rPr>
          <w:rFonts w:eastAsia="Arial"/>
          <w:color w:val="000000"/>
          <w:spacing w:val="4"/>
          <w:sz w:val="28"/>
          <w:szCs w:val="28"/>
          <w:shd w:val="clear" w:color="auto" w:fill="FFFFFF"/>
          <w:lang w:eastAsia="zh-CN"/>
        </w:rPr>
        <w:t>Примечания</w:t>
      </w:r>
    </w:p>
    <w:p w:rsidR="004D6119" w:rsidRDefault="00373AA9">
      <w:pPr>
        <w:pStyle w:val="aff"/>
        <w:ind w:firstLine="567"/>
        <w:contextualSpacing/>
        <w:rPr>
          <w:sz w:val="28"/>
          <w:szCs w:val="28"/>
        </w:rPr>
      </w:pPr>
      <w:r>
        <w:rPr>
          <w:rFonts w:eastAsia="Arial"/>
          <w:color w:val="000000"/>
          <w:spacing w:val="4"/>
          <w:sz w:val="28"/>
          <w:szCs w:val="28"/>
          <w:shd w:val="clear" w:color="auto" w:fill="FFFFFF"/>
          <w:lang w:eastAsia="zh-CN"/>
        </w:rPr>
        <w:t>1.</w:t>
      </w:r>
      <w:r>
        <w:rPr>
          <w:sz w:val="28"/>
          <w:szCs w:val="28"/>
        </w:rPr>
        <w:t xml:space="preserve"> 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</w:r>
    </w:p>
    <w:p w:rsidR="004D6119" w:rsidRDefault="00373AA9">
      <w:pPr>
        <w:pStyle w:val="aff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 w:cs="Calibri"/>
          <w:sz w:val="28"/>
          <w:szCs w:val="28"/>
          <w:lang w:eastAsia="zh-CN"/>
        </w:rPr>
        <w:t xml:space="preserve">Стоянки </w:t>
      </w:r>
      <w:r>
        <w:rPr>
          <w:sz w:val="28"/>
          <w:szCs w:val="28"/>
        </w:rPr>
        <w:t xml:space="preserve">автомобильного транспорта для </w:t>
      </w:r>
      <w:r>
        <w:rPr>
          <w:rFonts w:eastAsia="Calibri"/>
          <w:sz w:val="28"/>
          <w:szCs w:val="28"/>
          <w:lang w:eastAsia="zh-CN"/>
        </w:rPr>
        <w:t>многоквартирных</w:t>
      </w:r>
      <w:r>
        <w:rPr>
          <w:sz w:val="28"/>
          <w:szCs w:val="28"/>
        </w:rPr>
        <w:t xml:space="preserve"> жил</w:t>
      </w:r>
      <w:r>
        <w:rPr>
          <w:rFonts w:eastAsia="Calibri" w:cs="Calibri"/>
          <w:sz w:val="28"/>
          <w:szCs w:val="28"/>
          <w:lang w:eastAsia="zh-CN"/>
        </w:rPr>
        <w:t>ых домов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rStyle w:val="afd"/>
          <w:rFonts w:eastAsia="Calibri" w:cs="Calibri"/>
          <w:color w:val="000000"/>
          <w:sz w:val="28"/>
          <w:szCs w:val="28"/>
          <w:lang w:eastAsia="zh-CN"/>
        </w:rPr>
        <w:t>допускается размещать на территориях общего пользования, но не более 20% от расчетного количества.</w:t>
      </w:r>
    </w:p>
    <w:p w:rsidR="004D6119" w:rsidRDefault="00373AA9">
      <w:pPr>
        <w:pStyle w:val="aff"/>
        <w:ind w:firstLine="567"/>
        <w:contextualSpacing/>
        <w:rPr>
          <w:sz w:val="28"/>
          <w:szCs w:val="28"/>
        </w:rPr>
      </w:pPr>
      <w:r>
        <w:rPr>
          <w:rStyle w:val="afd"/>
          <w:rFonts w:eastAsia="Calibri" w:cs="Calibri"/>
          <w:color w:val="000000"/>
          <w:spacing w:val="4"/>
          <w:sz w:val="28"/>
          <w:szCs w:val="28"/>
          <w:lang w:eastAsia="zh-CN"/>
        </w:rPr>
        <w:t xml:space="preserve">3. </w:t>
      </w:r>
      <w:r>
        <w:rPr>
          <w:rStyle w:val="afd"/>
          <w:rFonts w:eastAsia="Arial"/>
          <w:color w:val="000000"/>
          <w:spacing w:val="4"/>
          <w:sz w:val="28"/>
          <w:szCs w:val="28"/>
          <w:lang w:eastAsia="zh-CN"/>
        </w:rPr>
        <w:t>Минимально допустимый уровень обеспеченности территории объектами водоснабжения, водоотведения, электроснабжения, газоснабжения, теплоснабжения уточняются н</w:t>
      </w:r>
      <w:r>
        <w:rPr>
          <w:rStyle w:val="afd"/>
          <w:rFonts w:eastAsia="Calibri" w:cs="Calibri"/>
          <w:color w:val="000000"/>
          <w:spacing w:val="4"/>
          <w:sz w:val="28"/>
          <w:szCs w:val="28"/>
          <w:lang w:eastAsia="zh-CN"/>
        </w:rPr>
        <w:t xml:space="preserve">а основании технических условий выданных специализированной </w:t>
      </w:r>
      <w:proofErr w:type="spellStart"/>
      <w:r>
        <w:rPr>
          <w:rStyle w:val="afd"/>
          <w:rFonts w:eastAsia="Calibri" w:cs="Calibri"/>
          <w:color w:val="000000"/>
          <w:spacing w:val="4"/>
          <w:sz w:val="28"/>
          <w:szCs w:val="28"/>
          <w:lang w:eastAsia="zh-CN"/>
        </w:rPr>
        <w:t>ресурсоснабжающей</w:t>
      </w:r>
      <w:proofErr w:type="spellEnd"/>
      <w:r>
        <w:rPr>
          <w:rStyle w:val="afd"/>
          <w:rFonts w:eastAsia="Calibri" w:cs="Calibri"/>
          <w:color w:val="000000"/>
          <w:spacing w:val="4"/>
          <w:sz w:val="28"/>
          <w:szCs w:val="28"/>
          <w:lang w:eastAsia="zh-CN"/>
        </w:rPr>
        <w:t xml:space="preserve"> организацией.</w:t>
      </w:r>
    </w:p>
    <w:p w:rsidR="004D6119" w:rsidRDefault="004D6119">
      <w:pPr>
        <w:widowControl/>
        <w:rPr>
          <w:rFonts w:eastAsia="Calibri" w:cs="Calibri"/>
          <w:sz w:val="28"/>
          <w:szCs w:val="28"/>
        </w:rPr>
      </w:pPr>
    </w:p>
    <w:p w:rsidR="004D6119" w:rsidRDefault="00373AA9">
      <w:pPr>
        <w:pStyle w:val="aff"/>
        <w:contextualSpacing/>
        <w:jc w:val="righ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»</w:t>
      </w:r>
    </w:p>
    <w:p w:rsidR="004D6119" w:rsidRDefault="004D6119">
      <w:pPr>
        <w:widowControl/>
        <w:rPr>
          <w:rFonts w:eastAsia="Calibri" w:cs="Calibri"/>
          <w:sz w:val="28"/>
          <w:szCs w:val="28"/>
        </w:rPr>
      </w:pPr>
    </w:p>
    <w:sectPr w:rsidR="004D6119" w:rsidSect="00BF3EEE">
      <w:headerReference w:type="default" r:id="rId7"/>
      <w:footerReference w:type="default" r:id="rId8"/>
      <w:pgSz w:w="11906" w:h="16838"/>
      <w:pgMar w:top="1134" w:right="680" w:bottom="1134" w:left="153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3C" w:rsidRDefault="00D6423C">
      <w:r>
        <w:separator/>
      </w:r>
    </w:p>
  </w:endnote>
  <w:endnote w:type="continuationSeparator" w:id="0">
    <w:p w:rsidR="00D6423C" w:rsidRDefault="00D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19" w:rsidRDefault="004D6119">
    <w:pPr>
      <w:pStyle w:val="affa"/>
    </w:pPr>
  </w:p>
  <w:p w:rsidR="004D6119" w:rsidRDefault="004D6119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3C" w:rsidRDefault="00D6423C">
      <w:r>
        <w:separator/>
      </w:r>
    </w:p>
  </w:footnote>
  <w:footnote w:type="continuationSeparator" w:id="0">
    <w:p w:rsidR="00D6423C" w:rsidRDefault="00D6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19" w:rsidRDefault="004D6119">
    <w:pPr>
      <w:ind w:firstLine="0"/>
      <w:jc w:val="center"/>
    </w:pPr>
  </w:p>
  <w:p w:rsidR="004D6119" w:rsidRDefault="004D6119">
    <w:pPr>
      <w:pStyle w:val="a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9"/>
    <w:rsid w:val="003637FB"/>
    <w:rsid w:val="00373AA9"/>
    <w:rsid w:val="004D6119"/>
    <w:rsid w:val="00BF3EEE"/>
    <w:rsid w:val="00D558D0"/>
    <w:rsid w:val="00D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styleId="1">
    <w:name w:val="heading 1"/>
    <w:basedOn w:val="a"/>
    <w:qFormat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b/>
      <w:bCs/>
      <w:i/>
      <w:iCs/>
      <w:color w:val="4F81BD" w:themeColor="accent1"/>
    </w:rPr>
  </w:style>
  <w:style w:type="paragraph" w:styleId="5">
    <w:name w:val="heading 5"/>
    <w:basedOn w:val="a"/>
    <w:qFormat/>
    <w:pPr>
      <w:keepNext/>
      <w:spacing w:before="80" w:after="80"/>
      <w:outlineLvl w:val="4"/>
    </w:pPr>
    <w:rPr>
      <w:rFonts w:eastAsia="Times New Roman"/>
      <w:b/>
      <w:sz w:val="36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Lucida Sans Unicode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Intense Emphasis"/>
    <w:uiPriority w:val="21"/>
    <w:qFormat/>
    <w:rPr>
      <w:b/>
      <w:bCs/>
      <w:i/>
      <w:iCs/>
      <w:color w:val="4F81BD"/>
    </w:rPr>
  </w:style>
  <w:style w:type="character" w:customStyle="1" w:styleId="21">
    <w:name w:val="Цитата 2 Знак"/>
    <w:basedOn w:val="a0"/>
    <w:uiPriority w:val="29"/>
    <w:qFormat/>
    <w:rPr>
      <w:rFonts w:ascii="Calibri" w:eastAsia="Calibri" w:hAnsi="Calibri" w:cs="Times New Roman"/>
      <w:i/>
      <w:iCs/>
      <w:color w:val="000000"/>
    </w:rPr>
  </w:style>
  <w:style w:type="character" w:customStyle="1" w:styleId="a7">
    <w:name w:val="Выделенная цитата Знак"/>
    <w:basedOn w:val="a0"/>
    <w:uiPriority w:val="30"/>
    <w:qFormat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8">
    <w:name w:val="Верх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semiHidden/>
    <w:qFormat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ab">
    <w:name w:val="Главы Знак"/>
    <w:basedOn w:val="10"/>
    <w:qFormat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d">
    <w:name w:val="Текст Знак"/>
    <w:basedOn w:val="a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сещённая гиперссылка"/>
    <w:basedOn w:val="a0"/>
    <w:rPr>
      <w:color w:val="800080"/>
      <w:u w:val="single"/>
    </w:rPr>
  </w:style>
  <w:style w:type="character" w:customStyle="1" w:styleId="af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qFormat/>
    <w:rPr>
      <w:rFonts w:ascii="TimesET" w:eastAsia="TimesET" w:hAnsi="TimesET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2">
    <w:name w:val="page number"/>
    <w:basedOn w:val="a0"/>
    <w:qFormat/>
  </w:style>
  <w:style w:type="character" w:customStyle="1" w:styleId="af3">
    <w:name w:val="название зоны Знак"/>
    <w:basedOn w:val="a0"/>
    <w:qFormat/>
    <w:rPr>
      <w:rFonts w:eastAsia="Lucida Sans Unicode" w:cs="Times New Roman"/>
      <w:i/>
      <w:sz w:val="24"/>
      <w:szCs w:val="24"/>
      <w:lang w:eastAsia="ru-RU"/>
    </w:rPr>
  </w:style>
  <w:style w:type="character" w:customStyle="1" w:styleId="af4">
    <w:name w:val="Название зоны Знак"/>
    <w:basedOn w:val="af3"/>
    <w:qFormat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character" w:customStyle="1" w:styleId="af5">
    <w:name w:val="Описание зоны Знак"/>
    <w:basedOn w:val="a0"/>
    <w:qFormat/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6">
    <w:name w:val="Осн виды Знак"/>
    <w:basedOn w:val="a0"/>
    <w:qFormat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7">
    <w:name w:val="Абзац списка Знак"/>
    <w:basedOn w:val="a0"/>
    <w:uiPriority w:val="34"/>
    <w:qFormat/>
    <w:rPr>
      <w:rFonts w:eastAsia="Lucida Sans Unicode" w:cs="Times New Roman"/>
      <w:sz w:val="24"/>
      <w:szCs w:val="24"/>
      <w:lang w:eastAsia="ru-RU"/>
    </w:rPr>
  </w:style>
  <w:style w:type="character" w:customStyle="1" w:styleId="af8">
    <w:name w:val="список разреш испол Знак"/>
    <w:basedOn w:val="af7"/>
    <w:qFormat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  <w:rPr>
      <w:rFonts w:eastAsia="Lucida Sans Unicode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Pr>
      <w:rFonts w:eastAsia="Lucida Sans Unicode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qFormat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Цветовое выделение для Текст"/>
    <w:qFormat/>
  </w:style>
  <w:style w:type="paragraph" w:customStyle="1" w:styleId="afe">
    <w:name w:val="Заголовок"/>
    <w:next w:val="aff"/>
    <w:qFormat/>
    <w:rPr>
      <w:rFonts w:ascii="Arial" w:hAnsi="Arial" w:cs="Arial"/>
      <w:b/>
      <w:bCs/>
      <w:sz w:val="22"/>
      <w:lang w:eastAsia="ru-RU"/>
    </w:rPr>
  </w:style>
  <w:style w:type="paragraph" w:styleId="aff">
    <w:name w:val="Body Text"/>
    <w:basedOn w:val="a"/>
    <w:pPr>
      <w:widowControl/>
    </w:pPr>
    <w:rPr>
      <w:rFonts w:eastAsia="Times New Roman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2">
    <w:name w:val="index heading"/>
    <w:basedOn w:val="afe"/>
  </w:style>
  <w:style w:type="paragraph" w:styleId="af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4">
    <w:name w:val="endnote text"/>
    <w:basedOn w:val="a"/>
    <w:uiPriority w:val="99"/>
    <w:semiHidden/>
    <w:unhideWhenUsed/>
    <w:rPr>
      <w:sz w:val="20"/>
    </w:rPr>
  </w:style>
  <w:style w:type="paragraph" w:styleId="aff5">
    <w:name w:val="Subtitle"/>
    <w:basedOn w:val="a"/>
    <w:uiPriority w:val="11"/>
    <w:qFormat/>
    <w:pPr>
      <w:widowControl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styleId="24">
    <w:name w:val="Quote"/>
    <w:basedOn w:val="a"/>
    <w:uiPriority w:val="29"/>
    <w:qFormat/>
    <w:pPr>
      <w:widowControl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6">
    <w:name w:val="Intense Quote"/>
    <w:basedOn w:val="a"/>
    <w:uiPriority w:val="30"/>
    <w:qFormat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7">
    <w:name w:val="Верхний и нижний колонтитулы"/>
    <w:basedOn w:val="a"/>
    <w:qFormat/>
  </w:style>
  <w:style w:type="paragraph" w:customStyle="1" w:styleId="aff8">
    <w:name w:val="Колонтитул"/>
    <w:basedOn w:val="a"/>
    <w:qFormat/>
  </w:style>
  <w:style w:type="paragraph" w:styleId="aff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ffb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affc">
    <w:name w:val="Главы"/>
    <w:basedOn w:val="1"/>
    <w:qFormat/>
    <w:rPr>
      <w:rFonts w:ascii="Times New Roman" w:hAnsi="Times New Roman"/>
      <w:color w:val="000000"/>
    </w:rPr>
  </w:style>
  <w:style w:type="paragraph" w:styleId="affd">
    <w:name w:val="TOC Heading"/>
    <w:basedOn w:val="1"/>
    <w:uiPriority w:val="39"/>
    <w:semiHidden/>
    <w:unhideWhenUsed/>
    <w:qFormat/>
    <w:pPr>
      <w:widowControl/>
      <w:spacing w:line="276" w:lineRule="auto"/>
    </w:pPr>
    <w:rPr>
      <w:rFonts w:ascii="Arial" w:eastAsia="Arial" w:hAnsi="Arial" w:cs="Arial"/>
      <w:color w:val="365F91" w:themeColor="accent1" w:themeShade="BF"/>
      <w:lang w:eastAsia="en-US"/>
    </w:rPr>
  </w:style>
  <w:style w:type="paragraph" w:styleId="32">
    <w:name w:val="toc 3"/>
    <w:basedOn w:val="a"/>
    <w:uiPriority w:val="39"/>
    <w:unhideWhenUsed/>
    <w:pPr>
      <w:ind w:left="480"/>
      <w:jc w:val="left"/>
    </w:pPr>
    <w:rPr>
      <w:sz w:val="20"/>
      <w:szCs w:val="20"/>
    </w:rPr>
  </w:style>
  <w:style w:type="paragraph" w:styleId="11">
    <w:name w:val="toc 1"/>
    <w:basedOn w:val="a"/>
    <w:uiPriority w:val="39"/>
    <w:unhideWhenUsed/>
    <w:pPr>
      <w:tabs>
        <w:tab w:val="left" w:pos="993"/>
        <w:tab w:val="right" w:leader="dot" w:pos="9498"/>
      </w:tabs>
      <w:spacing w:before="240" w:after="120"/>
      <w:ind w:firstLine="0"/>
      <w:jc w:val="left"/>
    </w:pPr>
    <w:rPr>
      <w:b/>
      <w:bCs/>
      <w:sz w:val="20"/>
      <w:szCs w:val="20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styleId="afff">
    <w:name w:val="Plain Text"/>
    <w:basedOn w:val="a"/>
    <w:uiPriority w:val="99"/>
    <w:qFormat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styleId="afff0">
    <w:name w:val="footnote text"/>
    <w:basedOn w:val="a"/>
    <w:semiHidden/>
    <w:pPr>
      <w:widowControl/>
    </w:pPr>
    <w:rPr>
      <w:rFonts w:eastAsia="Times New Roman"/>
      <w:sz w:val="20"/>
      <w:szCs w:val="20"/>
    </w:rPr>
  </w:style>
  <w:style w:type="paragraph" w:styleId="afff1">
    <w:name w:val="Body Text Indent"/>
    <w:basedOn w:val="a"/>
    <w:pPr>
      <w:widowControl/>
      <w:ind w:left="360"/>
      <w:jc w:val="center"/>
    </w:pPr>
    <w:rPr>
      <w:rFonts w:eastAsia="Times New Roman"/>
      <w:sz w:val="32"/>
      <w:szCs w:val="20"/>
    </w:rPr>
  </w:style>
  <w:style w:type="paragraph" w:styleId="25">
    <w:name w:val="Body Text 2"/>
    <w:basedOn w:val="a"/>
    <w:qFormat/>
    <w:pPr>
      <w:widowControl/>
      <w:tabs>
        <w:tab w:val="left" w:pos="709"/>
      </w:tabs>
      <w:jc w:val="center"/>
    </w:pPr>
    <w:rPr>
      <w:rFonts w:ascii="TimesET" w:eastAsia="TimesET" w:hAnsi="TimesET"/>
      <w:b/>
      <w:sz w:val="20"/>
      <w:szCs w:val="20"/>
    </w:rPr>
  </w:style>
  <w:style w:type="paragraph" w:styleId="26">
    <w:name w:val="Body Text Indent 2"/>
    <w:basedOn w:val="a"/>
    <w:qFormat/>
    <w:pPr>
      <w:widowControl/>
      <w:ind w:left="540" w:hanging="540"/>
    </w:pPr>
    <w:rPr>
      <w:rFonts w:eastAsia="Times New Roman"/>
      <w:b/>
      <w:bCs/>
      <w:sz w:val="20"/>
      <w:szCs w:val="20"/>
    </w:rPr>
  </w:style>
  <w:style w:type="paragraph" w:styleId="33">
    <w:name w:val="Body Text Indent 3"/>
    <w:basedOn w:val="a"/>
    <w:qFormat/>
    <w:pPr>
      <w:widowControl/>
      <w:ind w:left="360" w:hanging="360"/>
    </w:pPr>
    <w:rPr>
      <w:rFonts w:eastAsia="Times New Roman"/>
      <w:b/>
      <w:bCs/>
      <w:sz w:val="28"/>
    </w:rPr>
  </w:style>
  <w:style w:type="paragraph" w:customStyle="1" w:styleId="310">
    <w:name w:val="Основной текст с отступом 31"/>
    <w:basedOn w:val="a"/>
    <w:qFormat/>
    <w:pPr>
      <w:widowControl/>
      <w:tabs>
        <w:tab w:val="left" w:pos="709"/>
      </w:tabs>
    </w:pPr>
    <w:rPr>
      <w:rFonts w:ascii="TimesET" w:eastAsia="TimesET" w:hAnsi="TimesET"/>
      <w:sz w:val="20"/>
      <w:szCs w:val="20"/>
    </w:rPr>
  </w:style>
  <w:style w:type="paragraph" w:customStyle="1" w:styleId="afff2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qFormat/>
    <w:rPr>
      <w:rFonts w:eastAsia="Times New Roman"/>
      <w:sz w:val="20"/>
      <w:szCs w:val="20"/>
    </w:rPr>
  </w:style>
  <w:style w:type="paragraph" w:customStyle="1" w:styleId="0">
    <w:name w:val="Заголовок 0"/>
    <w:basedOn w:val="1"/>
    <w:qFormat/>
    <w:pPr>
      <w:keepLines w:val="0"/>
      <w:widowControl/>
      <w:spacing w:before="0"/>
    </w:pPr>
    <w:rPr>
      <w:rFonts w:ascii="Times New Roman" w:hAnsi="Times New Roman"/>
      <w:b w:val="0"/>
      <w:bCs w:val="0"/>
      <w:caps/>
      <w:sz w:val="24"/>
      <w:szCs w:val="24"/>
    </w:rPr>
  </w:style>
  <w:style w:type="paragraph" w:customStyle="1" w:styleId="Iauiue2">
    <w:name w:val="Iau?iue2"/>
    <w:qFormat/>
    <w:pPr>
      <w:widowControl w:val="0"/>
    </w:pPr>
    <w:rPr>
      <w:szCs w:val="20"/>
      <w:lang w:val="en-US" w:eastAsia="ru-RU"/>
    </w:rPr>
  </w:style>
  <w:style w:type="paragraph" w:customStyle="1" w:styleId="afff3">
    <w:name w:val="Ñòèëü"/>
    <w:qFormat/>
    <w:pPr>
      <w:widowControl w:val="0"/>
    </w:pPr>
    <w:rPr>
      <w:spacing w:val="-1"/>
      <w:sz w:val="24"/>
      <w:szCs w:val="20"/>
      <w:vertAlign w:val="subscript"/>
      <w:lang w:val="en-US" w:eastAsia="ru-RU"/>
    </w:rPr>
  </w:style>
  <w:style w:type="paragraph" w:customStyle="1" w:styleId="afff4">
    <w:name w:val="Îáû÷íûé"/>
    <w:qFormat/>
    <w:pPr>
      <w:widowControl w:val="0"/>
    </w:pPr>
    <w:rPr>
      <w:sz w:val="28"/>
      <w:szCs w:val="20"/>
      <w:lang w:eastAsia="ru-RU"/>
    </w:rPr>
  </w:style>
  <w:style w:type="paragraph" w:customStyle="1" w:styleId="Iauiue">
    <w:name w:val="Iau?iue"/>
    <w:qFormat/>
    <w:pPr>
      <w:widowControl w:val="0"/>
    </w:pPr>
    <w:rPr>
      <w:szCs w:val="20"/>
      <w:lang w:eastAsia="ru-RU"/>
    </w:rPr>
  </w:style>
  <w:style w:type="paragraph" w:customStyle="1" w:styleId="27">
    <w:name w:val="Îñíîâíîé òåêñò 2"/>
    <w:basedOn w:val="afff4"/>
    <w:qFormat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8">
    <w:name w:val="Îñíîâíîé òåêñò ñ îòñòóïîì 2"/>
    <w:basedOn w:val="afff4"/>
    <w:qFormat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ff4"/>
    <w:qFormat/>
    <w:pPr>
      <w:keepNext/>
    </w:pPr>
  </w:style>
  <w:style w:type="paragraph" w:customStyle="1" w:styleId="34">
    <w:name w:val="Îñíîâíîé òåêñò ñ îòñòóïîì 3"/>
    <w:basedOn w:val="afff4"/>
    <w:qFormat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f5">
    <w:name w:val="основной"/>
    <w:basedOn w:val="a"/>
    <w:qFormat/>
    <w:pPr>
      <w:keepNext/>
      <w:widowControl/>
    </w:pPr>
    <w:rPr>
      <w:rFonts w:eastAsia="Times New Roman"/>
      <w:sz w:val="20"/>
      <w:szCs w:val="20"/>
    </w:r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qFormat/>
    <w:pPr>
      <w:ind w:firstLine="567"/>
    </w:pPr>
    <w:rPr>
      <w:rFonts w:eastAsia="Times New Roman"/>
      <w:b/>
      <w:color w:val="000000"/>
      <w:sz w:val="20"/>
      <w:szCs w:val="20"/>
    </w:rPr>
  </w:style>
  <w:style w:type="paragraph" w:customStyle="1" w:styleId="afff6">
    <w:name w:val="Îñíîâíîé òåêñò"/>
    <w:basedOn w:val="afff4"/>
    <w:qFormat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qFormat/>
    <w:rPr>
      <w:rFonts w:eastAsia="Times New Roman"/>
      <w:color w:val="000000"/>
      <w:sz w:val="20"/>
      <w:szCs w:val="20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35">
    <w:name w:val="çàãîëîâîê 3"/>
    <w:basedOn w:val="afff3"/>
    <w:qFormat/>
    <w:pPr>
      <w:keepNext/>
      <w:spacing w:before="80" w:after="120" w:line="278" w:lineRule="exact"/>
      <w:ind w:right="-149"/>
      <w:jc w:val="center"/>
    </w:pPr>
    <w:rPr>
      <w:b/>
      <w:caps/>
      <w:spacing w:val="0"/>
      <w:lang w:val="ru-RU"/>
    </w:rPr>
  </w:style>
  <w:style w:type="paragraph" w:customStyle="1" w:styleId="ConsPlusNonformat">
    <w:name w:val="ConsPlusNonformat"/>
    <w:qFormat/>
    <w:rPr>
      <w:rFonts w:ascii="Courier New" w:hAnsi="Courier New" w:cs="Courier New"/>
      <w:szCs w:val="20"/>
      <w:lang w:eastAsia="ru-RU"/>
    </w:rPr>
  </w:style>
  <w:style w:type="paragraph" w:styleId="afff7">
    <w:name w:val="Normal (Web)"/>
    <w:basedOn w:val="a"/>
    <w:qFormat/>
    <w:pPr>
      <w:widowControl/>
      <w:spacing w:beforeAutospacing="1" w:afterAutospacing="1"/>
    </w:pPr>
    <w:rPr>
      <w:rFonts w:eastAsia="Times New Roman"/>
    </w:rPr>
  </w:style>
  <w:style w:type="paragraph" w:customStyle="1" w:styleId="afff8">
    <w:name w:val="Пункты"/>
    <w:basedOn w:val="a"/>
    <w:qFormat/>
    <w:pPr>
      <w:shd w:val="clear" w:color="FFFFFF" w:fill="FFFFFF"/>
      <w:spacing w:line="276" w:lineRule="exact"/>
      <w:ind w:hanging="227"/>
    </w:pPr>
    <w:rPr>
      <w:sz w:val="26"/>
      <w:szCs w:val="26"/>
    </w:rPr>
  </w:style>
  <w:style w:type="paragraph" w:customStyle="1" w:styleId="afff9">
    <w:name w:val="Подпункты маркированные"/>
    <w:basedOn w:val="a"/>
    <w:qFormat/>
    <w:pPr>
      <w:tabs>
        <w:tab w:val="left" w:pos="2415"/>
      </w:tabs>
    </w:pPr>
    <w:rPr>
      <w:sz w:val="26"/>
      <w:szCs w:val="26"/>
    </w:rPr>
  </w:style>
  <w:style w:type="paragraph" w:customStyle="1" w:styleId="afffa">
    <w:name w:val="Подпункты Знак"/>
    <w:basedOn w:val="a"/>
    <w:qFormat/>
    <w:pPr>
      <w:ind w:firstLine="720"/>
    </w:pPr>
    <w:rPr>
      <w:sz w:val="28"/>
      <w:szCs w:val="28"/>
    </w:rPr>
  </w:style>
  <w:style w:type="paragraph" w:styleId="29">
    <w:name w:val="toc 2"/>
    <w:basedOn w:val="a"/>
    <w:uiPriority w:val="39"/>
    <w:unhideWhenUsed/>
    <w:pPr>
      <w:spacing w:before="120"/>
      <w:ind w:left="240"/>
      <w:jc w:val="left"/>
    </w:pPr>
    <w:rPr>
      <w:i/>
      <w:iCs/>
      <w:sz w:val="20"/>
      <w:szCs w:val="20"/>
    </w:rPr>
  </w:style>
  <w:style w:type="paragraph" w:styleId="41">
    <w:name w:val="toc 4"/>
    <w:basedOn w:val="a"/>
    <w:uiPriority w:val="39"/>
    <w:unhideWhenUsed/>
    <w:pPr>
      <w:ind w:left="720"/>
      <w:jc w:val="left"/>
    </w:pPr>
    <w:rPr>
      <w:sz w:val="20"/>
      <w:szCs w:val="20"/>
    </w:rPr>
  </w:style>
  <w:style w:type="paragraph" w:styleId="51">
    <w:name w:val="toc 5"/>
    <w:basedOn w:val="a"/>
    <w:uiPriority w:val="39"/>
    <w:unhideWhenUsed/>
    <w:pPr>
      <w:ind w:left="960"/>
      <w:jc w:val="left"/>
    </w:pPr>
    <w:rPr>
      <w:sz w:val="20"/>
      <w:szCs w:val="20"/>
    </w:rPr>
  </w:style>
  <w:style w:type="paragraph" w:styleId="60">
    <w:name w:val="toc 6"/>
    <w:basedOn w:val="a"/>
    <w:uiPriority w:val="39"/>
    <w:unhideWhenUsed/>
    <w:pPr>
      <w:ind w:left="1200"/>
      <w:jc w:val="left"/>
    </w:pPr>
    <w:rPr>
      <w:sz w:val="20"/>
      <w:szCs w:val="20"/>
    </w:rPr>
  </w:style>
  <w:style w:type="paragraph" w:styleId="70">
    <w:name w:val="toc 7"/>
    <w:basedOn w:val="a"/>
    <w:uiPriority w:val="39"/>
    <w:unhideWhenUsed/>
    <w:pPr>
      <w:ind w:left="1440"/>
      <w:jc w:val="left"/>
    </w:pPr>
    <w:rPr>
      <w:sz w:val="20"/>
      <w:szCs w:val="20"/>
    </w:rPr>
  </w:style>
  <w:style w:type="paragraph" w:styleId="80">
    <w:name w:val="toc 8"/>
    <w:basedOn w:val="a"/>
    <w:uiPriority w:val="39"/>
    <w:unhideWhenUsed/>
    <w:pPr>
      <w:ind w:left="1680"/>
      <w:jc w:val="left"/>
    </w:pPr>
    <w:rPr>
      <w:sz w:val="20"/>
      <w:szCs w:val="20"/>
    </w:rPr>
  </w:style>
  <w:style w:type="paragraph" w:styleId="90">
    <w:name w:val="toc 9"/>
    <w:basedOn w:val="a"/>
    <w:uiPriority w:val="39"/>
    <w:unhideWhenUsed/>
    <w:pPr>
      <w:ind w:left="1920"/>
      <w:jc w:val="left"/>
    </w:pPr>
    <w:rPr>
      <w:sz w:val="20"/>
      <w:szCs w:val="20"/>
    </w:rPr>
  </w:style>
  <w:style w:type="paragraph" w:customStyle="1" w:styleId="afffb">
    <w:name w:val="название зоны"/>
    <w:basedOn w:val="a"/>
    <w:qFormat/>
    <w:pPr>
      <w:jc w:val="right"/>
    </w:pPr>
    <w:rPr>
      <w:i/>
    </w:rPr>
  </w:style>
  <w:style w:type="paragraph" w:customStyle="1" w:styleId="afffc">
    <w:name w:val="Название зоны"/>
    <w:basedOn w:val="afffb"/>
    <w:qFormat/>
    <w:pPr>
      <w:ind w:left="2694" w:firstLine="0"/>
      <w:jc w:val="both"/>
    </w:pPr>
    <w:rPr>
      <w:rFonts w:ascii="Candara" w:hAnsi="Candara"/>
      <w:b/>
    </w:rPr>
  </w:style>
  <w:style w:type="paragraph" w:customStyle="1" w:styleId="afffd">
    <w:name w:val="Описание зоны"/>
    <w:basedOn w:val="a"/>
    <w:qFormat/>
    <w:pPr>
      <w:ind w:left="2694" w:firstLine="0"/>
    </w:pPr>
    <w:rPr>
      <w:rFonts w:ascii="Candara" w:hAnsi="Candara"/>
      <w:lang w:bidi="hi-IN"/>
    </w:rPr>
  </w:style>
  <w:style w:type="paragraph" w:customStyle="1" w:styleId="afffe">
    <w:name w:val="Осн виды"/>
    <w:basedOn w:val="a"/>
    <w:qFormat/>
    <w:pPr>
      <w:ind w:firstLine="0"/>
      <w:jc w:val="center"/>
    </w:pPr>
    <w:rPr>
      <w:i/>
      <w:lang w:bidi="hi-IN"/>
    </w:rPr>
  </w:style>
  <w:style w:type="paragraph" w:customStyle="1" w:styleId="affff">
    <w:name w:val="список разреш испол"/>
    <w:basedOn w:val="affe"/>
    <w:qFormat/>
    <w:pPr>
      <w:jc w:val="left"/>
    </w:pPr>
    <w:rPr>
      <w:lang w:bidi="hi-IN"/>
    </w:rPr>
  </w:style>
  <w:style w:type="paragraph" w:styleId="aff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f1">
    <w:name w:val="annotation subject"/>
    <w:basedOn w:val="affff0"/>
    <w:uiPriority w:val="99"/>
    <w:semiHidden/>
    <w:unhideWhenUsed/>
    <w:qFormat/>
    <w:rPr>
      <w:b/>
      <w:bCs/>
    </w:rPr>
  </w:style>
  <w:style w:type="paragraph" w:styleId="affff2">
    <w:name w:val="No Spacing"/>
    <w:uiPriority w:val="1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customStyle="1" w:styleId="00">
    <w:name w:val="Основной текст 0"/>
    <w:basedOn w:val="a"/>
    <w:qFormat/>
    <w:pPr>
      <w:widowControl/>
      <w:ind w:firstLine="539"/>
    </w:pPr>
    <w:rPr>
      <w:rFonts w:eastAsia="Calibri"/>
      <w:color w:val="000000"/>
      <w:lang w:eastAsia="en-US"/>
    </w:rPr>
  </w:style>
  <w:style w:type="paragraph" w:customStyle="1" w:styleId="western">
    <w:name w:val="western"/>
    <w:basedOn w:val="a"/>
    <w:uiPriority w:val="99"/>
    <w:qFormat/>
    <w:pPr>
      <w:widowControl/>
      <w:shd w:val="clear" w:color="FFFFFF" w:fill="FFFFFF"/>
      <w:spacing w:beforeAutospacing="1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Main0">
    <w:name w:val="Main"/>
    <w:basedOn w:val="a"/>
    <w:qFormat/>
    <w:pPr>
      <w:widowControl/>
    </w:pPr>
    <w:rPr>
      <w:rFonts w:eastAsia="Calibri"/>
      <w:sz w:val="28"/>
      <w:szCs w:val="28"/>
      <w:lang w:val="en-US" w:eastAsia="en-US"/>
    </w:rPr>
  </w:style>
  <w:style w:type="paragraph" w:customStyle="1" w:styleId="affff3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  <w:spacing w:line="276" w:lineRule="auto"/>
    </w:pPr>
    <w:rPr>
      <w:sz w:val="24"/>
      <w:szCs w:val="24"/>
      <w:lang w:eastAsia="ru-RU"/>
    </w:rPr>
  </w:style>
  <w:style w:type="paragraph" w:customStyle="1" w:styleId="affff4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affff5">
    <w:name w:val="Заголовок таблицы"/>
    <w:basedOn w:val="affff4"/>
    <w:qFormat/>
    <w:pPr>
      <w:jc w:val="center"/>
    </w:pPr>
    <w:rPr>
      <w:b/>
      <w:bCs/>
    </w:rPr>
  </w:style>
  <w:style w:type="paragraph" w:customStyle="1" w:styleId="affff6">
    <w:name w:val="текст"/>
    <w:basedOn w:val="a"/>
    <w:qFormat/>
    <w:pPr>
      <w:suppressAutoHyphens w:val="0"/>
      <w:spacing w:before="120" w:after="120"/>
    </w:pPr>
    <w:rPr>
      <w:sz w:val="28"/>
      <w:szCs w:val="28"/>
    </w:rPr>
  </w:style>
  <w:style w:type="paragraph" w:customStyle="1" w:styleId="affff7">
    <w:name w:val="Прижатый влево"/>
    <w:basedOn w:val="a"/>
    <w:next w:val="a"/>
    <w:qFormat/>
    <w:rPr>
      <w:rFonts w:ascii="Times New Roman CYR" w:eastAsia="Times New Roman" w:hAnsi="Times New Roman CYR" w:cs="Times New Roman CYR"/>
    </w:rPr>
  </w:style>
  <w:style w:type="table" w:styleId="afff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CSTP</dc:creator>
  <dc:description/>
  <cp:lastModifiedBy>LENOVO</cp:lastModifiedBy>
  <cp:revision>196</cp:revision>
  <dcterms:created xsi:type="dcterms:W3CDTF">2024-04-11T14:02:00Z</dcterms:created>
  <dcterms:modified xsi:type="dcterms:W3CDTF">2024-05-15T13:12:00Z</dcterms:modified>
  <dc:language>ru-RU</dc:language>
</cp:coreProperties>
</file>