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ОПОВЕЩЕНИЕ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НАЧАЛЕ ОБЩЕСТВЕННЫХ ОБСУЖДЕНИЙ</w:t>
      </w:r>
    </w:p>
    <w:p>
      <w:pPr>
        <w:pStyle w:val="Normal"/>
        <w:spacing w:lineRule="auto" w:line="240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  <w:highlight w:val="white"/>
        </w:rPr>
        <w:t>В целях соблюдения права человека на благоприятные условия                                       жизнедеятельности, прав и законных интересов правообладателей земельных участков</w:t>
        <w:br/>
        <w:t xml:space="preserve">и объектов капитального строительства и в соответствии с Градостроительным кодексом Российской Федерации, </w:t>
      </w:r>
      <w:r>
        <w:rPr>
          <w:rFonts w:eastAsia="Times New Roman" w:cs="Times New Roman"/>
          <w:b w:val="false"/>
          <w:bCs w:val="false"/>
          <w:color w:val="auto"/>
          <w:sz w:val="24"/>
          <w:szCs w:val="24"/>
          <w:highlight w:val="white"/>
          <w:lang w:val="ru-RU" w:eastAsia="zh-CN" w:bidi="ar-SA"/>
        </w:rPr>
        <w:t>приказом</w:t>
      </w:r>
      <w:r>
        <w:rPr>
          <w:rFonts w:cs="Times New Roman"/>
          <w:b w:val="false"/>
          <w:bCs w:val="false"/>
          <w:sz w:val="24"/>
          <w:szCs w:val="24"/>
          <w:highlight w:val="white"/>
        </w:rPr>
        <w:t xml:space="preserve"> главного управления архитектуры</w:t>
        <w:br/>
        <w:t>и градостроительства Рязанской области от 11.06.2024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4"/>
          <w:szCs w:val="24"/>
          <w:highlight w:val="white"/>
          <w:lang w:val="ru-RU" w:eastAsia="zh-CN" w:bidi="ar-SA"/>
        </w:rPr>
        <w:t xml:space="preserve"> № 160-д</w:t>
      </w:r>
      <w:r>
        <w:rPr>
          <w:rFonts w:cs="Times New Roman"/>
          <w:b w:val="false"/>
          <w:bCs w:val="false"/>
          <w:sz w:val="24"/>
          <w:szCs w:val="24"/>
          <w:highlight w:val="white"/>
        </w:rPr>
        <w:t xml:space="preserve"> «О проведении общественных обсуждений по проекту 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highlight w:val="white"/>
        </w:rPr>
        <w:t>правил землепользования и застройки муниципального образования</w:t>
      </w:r>
      <w:r>
        <w:rPr>
          <w:rFonts w:eastAsia="Times New Roman" w:cs="Times New Roman"/>
          <w:b w:val="false"/>
          <w:bCs w:val="false"/>
          <w:sz w:val="24"/>
          <w:szCs w:val="24"/>
          <w:highlight w:val="white"/>
        </w:rPr>
        <w:t xml:space="preserve"> —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highlight w:val="white"/>
          <w:u w:val="none"/>
          <w:lang w:val="ru-RU" w:eastAsia="zh-CN" w:bidi="ar-SA"/>
        </w:rPr>
        <w:t>Путятинский муниципальный округ Рязанской области применительно к территории Воршевского сельского округа Путятинского района Рязанской области»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проводятся общественные обсуждения </w:t>
      </w:r>
      <w:r>
        <w:rPr>
          <w:rFonts w:cs="Times New Roman"/>
          <w:b w:val="false"/>
          <w:bCs w:val="false"/>
          <w:sz w:val="24"/>
          <w:szCs w:val="24"/>
          <w:highlight w:val="white"/>
        </w:rPr>
        <w:t xml:space="preserve">по обращению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val="ru-RU" w:eastAsia="zh-CN" w:bidi="ar-SA"/>
        </w:rPr>
        <w:t>ГКУ РО «Центр градостроительного развития Рязанской области».</w:t>
      </w:r>
    </w:p>
    <w:p>
      <w:pPr>
        <w:pStyle w:val="Normal"/>
        <w:widowControl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highlight w:val="white"/>
        </w:rPr>
        <w:t>Организатор общественных обсуждений:</w:t>
      </w:r>
      <w:r>
        <w:rPr>
          <w:rFonts w:cs="Times New Roman"/>
          <w:sz w:val="24"/>
          <w:szCs w:val="24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  <w:highlight w:val="white"/>
        </w:rPr>
        <w:t>комиссия по территориальному планированию, землепользованию и застройке Рязанской области, находящ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highlight w:val="white"/>
          <w:lang w:val="ru-RU" w:eastAsia="zh-CN" w:bidi="ar-SA"/>
        </w:rPr>
        <w:t>ая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  <w:highlight w:val="white"/>
        </w:rPr>
        <w:t>ся</w:t>
        <w:br/>
        <w:t>по адресу: г. Рязань, ул. Маяковского, д. 9 к. 1. Техническое обеспечение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</w:t>
      </w:r>
      <w:r>
        <w:rPr>
          <w:rFonts w:eastAsia="Times New Roman" w:cs="Times New Roman"/>
          <w:b w:val="false"/>
          <w:bCs w:val="false"/>
          <w:i w:val="false"/>
          <w:iCs w:val="false"/>
          <w:sz w:val="24"/>
          <w:szCs w:val="24"/>
          <w:highlight w:val="white"/>
        </w:rPr>
        <w:t xml:space="preserve"> —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4"/>
          <w:szCs w:val="24"/>
          <w:highlight w:val="white"/>
          <w:lang w:val="ru-RU" w:eastAsia="zh-CN" w:bidi="ar-SA"/>
        </w:rPr>
        <w:t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  <w:highlight w:val="white"/>
        </w:rPr>
        <w:t>, контактный телефон (4912) 97-19-90 доб. 239).</w:t>
      </w:r>
    </w:p>
    <w:p>
      <w:pPr>
        <w:pStyle w:val="Normal"/>
        <w:widowControl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rFonts w:cs="Times New Roman"/>
          <w:b/>
          <w:bCs/>
          <w:sz w:val="24"/>
          <w:szCs w:val="24"/>
          <w:highlight w:val="white"/>
        </w:rPr>
        <w:t>Срок проведения общественных обсуждений:</w:t>
      </w:r>
      <w:r>
        <w:rPr>
          <w:rFonts w:cs="Times New Roman"/>
          <w:sz w:val="24"/>
          <w:szCs w:val="24"/>
          <w:highlight w:val="white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4"/>
          <w:szCs w:val="24"/>
          <w:highlight w:val="white"/>
        </w:rPr>
        <w:t xml:space="preserve">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4"/>
          <w:szCs w:val="24"/>
          <w:highlight w:val="white"/>
          <w:lang w:val="ru-RU" w:eastAsia="zh-CN" w:bidi="ar-SA"/>
        </w:rPr>
        <w:t>17 июня</w:t>
      </w:r>
      <w:r>
        <w:rPr>
          <w:rFonts w:cs="Times New Roman"/>
          <w:b w:val="false"/>
          <w:bCs w:val="false"/>
          <w:strike w:val="false"/>
          <w:dstrike w:val="false"/>
          <w:sz w:val="24"/>
          <w:szCs w:val="24"/>
        </w:rPr>
        <w:t xml:space="preserve"> 2024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sz w:val="24"/>
          <w:szCs w:val="24"/>
          <w:lang w:val="ru-RU" w:eastAsia="zh-CN" w:bidi="ar-SA"/>
        </w:rPr>
        <w:t>10 июля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sz w:val="24"/>
          <w:szCs w:val="24"/>
          <w:highlight w:val="white"/>
          <w:lang w:val="ru-RU" w:eastAsia="zh-CN" w:bidi="ar-SA"/>
        </w:rPr>
        <w:br/>
      </w:r>
      <w:r>
        <w:rPr>
          <w:rFonts w:cs="Times New Roman"/>
          <w:b w:val="false"/>
          <w:bCs w:val="false"/>
          <w:strike w:val="false"/>
          <w:dstrike w:val="false"/>
          <w:sz w:val="24"/>
          <w:szCs w:val="24"/>
          <w:highlight w:val="white"/>
        </w:rPr>
        <w:t>2024 г.</w:t>
      </w:r>
    </w:p>
    <w:p>
      <w:pPr>
        <w:pStyle w:val="Normal"/>
        <w:widowControl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sz w:val="24"/>
          <w:szCs w:val="24"/>
          <w:highlight w:val="white"/>
        </w:rPr>
        <w:t xml:space="preserve">Размещение проекта и информационных материалов к нему на официальном сайте: </w:t>
      </w:r>
      <w:r>
        <w:rPr>
          <w:rFonts w:eastAsia="Times New Roman" w:cs="Times New Roman"/>
          <w:color w:val="000000"/>
          <w:sz w:val="24"/>
          <w:szCs w:val="24"/>
          <w:highlight w:val="white"/>
          <w:u w:val="none"/>
        </w:rPr>
        <w:t>https://uag.ryazan.gov.ru/</w:t>
      </w:r>
      <w:hyperlink r:id="rId2" w:tgtFrame="https://uag.ryazangov.ru/announcements">
        <w:r>
          <w:rPr>
            <w:rFonts w:eastAsia="Times New Roman"/>
            <w:color w:val="000000"/>
            <w:sz w:val="24"/>
            <w:szCs w:val="24"/>
            <w:highlight w:val="white"/>
            <w:u w:val="none"/>
          </w:rPr>
          <w:t>announcements</w:t>
        </w:r>
      </w:hyperlink>
    </w:p>
    <w:p>
      <w:pPr>
        <w:pStyle w:val="Normal"/>
        <w:widowControl/>
        <w:spacing w:lineRule="auto" w:line="240" w:before="0" w:after="0"/>
        <w:ind w:left="0" w:right="0" w:firstLine="567"/>
        <w:jc w:val="both"/>
        <w:rPr/>
      </w:pPr>
      <w:hyperlink r:id="rId3" w:tgtFrame="https://uag.ryazangov.ru/announcements">
        <w:r>
          <w:rPr>
            <w:sz w:val="24"/>
            <w:szCs w:val="24"/>
          </w:rPr>
          <w:t>Оповещение о начале общественных обсуждений размещается:</w:t>
        </w:r>
      </w:hyperlink>
    </w:p>
    <w:p>
      <w:pPr>
        <w:pStyle w:val="Normal"/>
        <w:spacing w:lineRule="auto" w:line="240"/>
        <w:jc w:val="both"/>
        <w:rPr/>
      </w:pPr>
      <w:hyperlink r:id="rId4" w:tgtFrame="https://uag.ryazangov.ru/announcements">
        <w:r>
          <w:rPr>
            <w:rFonts w:cs="Times New Roman"/>
            <w:sz w:val="24"/>
            <w:szCs w:val="24"/>
            <w:highlight w:val="white"/>
          </w:rPr>
          <w:t>- на информационном стенде:</w:t>
        </w:r>
      </w:hyperlink>
      <w:r>
        <w:rPr>
          <w:rFonts w:cs="Times New Roman"/>
          <w:sz w:val="24"/>
          <w:szCs w:val="24"/>
          <w:highlight w:val="white"/>
        </w:rPr>
        <w:t xml:space="preserve"> 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shd w:fill="FFFFFF" w:val="clear"/>
          <w:lang w:val="en-US" w:eastAsia="zh-CN" w:bidi="ar-SA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zh-CN" w:bidi="ar-SA"/>
        </w:rPr>
        <w:t>Путятинский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shd w:fill="FFFFFF" w:val="clear"/>
          <w:lang w:val="en-US" w:eastAsia="zh-CN" w:bidi="ar-SA"/>
        </w:rPr>
        <w:t xml:space="preserve"> район, с. Екатериновка,</w:t>
        <w:br/>
        <w:t xml:space="preserve">ул. Переулок Солнечный, д. 13 (здание администрации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zh-CN" w:bidi="ar-SA"/>
        </w:rPr>
        <w:t>территориальный сектор №1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shd w:fill="FFFFFF" w:val="clear"/>
          <w:lang w:val="en-US" w:eastAsia="zh-CN" w:bidi="ar-SA"/>
        </w:rPr>
        <w:t>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  <w:u w:val="none"/>
          <w:shd w:fill="FFFFFF" w:val="clear"/>
          <w:lang w:val="en-US" w:eastAsia="zh-CN" w:bidi="ar-SA"/>
        </w:rPr>
        <w:t>;</w:t>
      </w:r>
    </w:p>
    <w:p>
      <w:pPr>
        <w:pStyle w:val="Normal"/>
        <w:spacing w:lineRule="auto" w:line="240"/>
        <w:jc w:val="both"/>
        <w:rPr/>
      </w:pPr>
      <w:hyperlink r:id="rId5" w:tgtFrame="https://uag.ryazangov.ru/announcements">
        <w:r>
          <w:rPr>
            <w:sz w:val="24"/>
            <w:szCs w:val="24"/>
          </w:rPr>
          <w:t xml:space="preserve">- </w:t>
        </w:r>
        <w:r>
          <w:rPr>
            <w:rFonts w:cs="Times New Roman"/>
            <w:sz w:val="24"/>
            <w:szCs w:val="24"/>
            <w:highlight w:val="white"/>
          </w:rPr>
          <w:t xml:space="preserve">в </w:t>
        </w:r>
        <w:r>
          <w:rPr>
            <w:rFonts w:eastAsia="Times New Roman" w:cs="Times New Roman"/>
            <w:color w:val="000000"/>
            <w:sz w:val="24"/>
            <w:szCs w:val="24"/>
            <w:highlight w:val="white"/>
            <w:lang w:val="ru-RU" w:eastAsia="zh-CN" w:bidi="ar-SA"/>
          </w:rPr>
          <w:t>сетевом издании</w:t>
        </w:r>
        <w:r>
          <w:rPr>
            <w:rFonts w:cs="Times New Roman"/>
            <w:sz w:val="24"/>
            <w:szCs w:val="24"/>
            <w:highlight w:val="white"/>
          </w:rPr>
          <w:t xml:space="preserve"> «Рязанские ведомости» (www.rv-ryazan.ru)</w:t>
        </w:r>
        <w:r>
          <w:rPr>
            <w:sz w:val="24"/>
            <w:szCs w:val="24"/>
          </w:rPr>
          <w:t>.</w:t>
        </w:r>
      </w:hyperlink>
    </w:p>
    <w:p>
      <w:pPr>
        <w:pStyle w:val="Normal"/>
        <w:widowControl/>
        <w:spacing w:lineRule="auto" w:line="240" w:before="0" w:after="0"/>
        <w:ind w:left="0" w:right="0" w:firstLine="567"/>
        <w:jc w:val="both"/>
        <w:rPr/>
      </w:pPr>
      <w:hyperlink r:id="rId6" w:tgtFrame="https://uag.ryazangov.ru/announcements">
        <w:r>
          <w:rPr>
            <w:sz w:val="24"/>
            <w:szCs w:val="24"/>
          </w:rPr>
          <w:t>Период проведения экспозиции:</w:t>
        </w:r>
        <w:r>
          <w:rPr>
            <w:b w:val="false"/>
            <w:bCs w:val="false"/>
            <w:strike w:val="false"/>
            <w:dstrike w:val="false"/>
            <w:sz w:val="24"/>
            <w:szCs w:val="24"/>
          </w:rPr>
          <w:t xml:space="preserve"> </w:t>
        </w:r>
        <w:r>
          <w:rPr>
            <w:rFonts w:cs="Times New Roman"/>
            <w:b w:val="false"/>
            <w:bCs w:val="false"/>
            <w:strike w:val="false"/>
            <w:dstrike w:val="false"/>
            <w:sz w:val="24"/>
            <w:szCs w:val="24"/>
            <w:highlight w:val="white"/>
          </w:rPr>
          <w:t xml:space="preserve">с 17 </w:t>
        </w:r>
        <w:r>
          <w:rPr>
            <w:rFonts w:eastAsia="Times New Roman" w:cs="Times New Roman"/>
            <w:b w:val="false"/>
            <w:bCs w:val="false"/>
            <w:strike w:val="false"/>
            <w:dstrike w:val="false"/>
            <w:color w:val="auto"/>
            <w:sz w:val="24"/>
            <w:szCs w:val="24"/>
            <w:highlight w:val="white"/>
            <w:lang w:val="ru-RU" w:eastAsia="zh-CN" w:bidi="ar-SA"/>
          </w:rPr>
          <w:t>июня</w:t>
        </w:r>
        <w:r>
          <w:rPr>
            <w:rFonts w:cs="Times New Roman"/>
            <w:b w:val="false"/>
            <w:bCs w:val="false"/>
            <w:strike w:val="false"/>
            <w:dstrike w:val="false"/>
            <w:sz w:val="24"/>
            <w:szCs w:val="24"/>
            <w:highlight w:val="white"/>
          </w:rPr>
          <w:t xml:space="preserve"> 2024 г. по 02</w:t>
        </w:r>
        <w:r>
          <w:rPr>
            <w:rFonts w:eastAsia="Times New Roman" w:cs="Times New Roman"/>
            <w:b w:val="false"/>
            <w:bCs w:val="false"/>
            <w:strike w:val="false"/>
            <w:dstrike w:val="false"/>
            <w:color w:val="000000"/>
            <w:sz w:val="24"/>
            <w:szCs w:val="24"/>
            <w:highlight w:val="white"/>
            <w:lang w:val="ru-RU" w:eastAsia="zh-CN" w:bidi="ar-SA"/>
          </w:rPr>
          <w:t xml:space="preserve"> июля</w:t>
        </w:r>
        <w:r>
          <w:rPr>
            <w:rFonts w:cs="Times New Roman"/>
            <w:b w:val="false"/>
            <w:bCs w:val="false"/>
            <w:strike w:val="false"/>
            <w:dstrike w:val="false"/>
            <w:sz w:val="24"/>
            <w:szCs w:val="24"/>
            <w:highlight w:val="white"/>
          </w:rPr>
          <w:t xml:space="preserve"> 2024 г.,</w:t>
        </w:r>
        <w:r>
          <w:rPr>
            <w:strike w:val="false"/>
            <w:dstrike w:val="false"/>
            <w:sz w:val="24"/>
            <w:szCs w:val="24"/>
          </w:rPr>
          <w:t xml:space="preserve"> с </w:t>
        </w:r>
        <w:r>
          <w:rPr>
            <w:rFonts w:eastAsia="Times New Roman" w:cs="Times New Roman"/>
            <w:strike w:val="false"/>
            <w:dstrike w:val="false"/>
            <w:color w:val="auto"/>
            <w:sz w:val="24"/>
            <w:szCs w:val="24"/>
            <w:lang w:val="ru-RU" w:eastAsia="zh-CN" w:bidi="ar-SA"/>
          </w:rPr>
          <w:t>8</w:t>
        </w:r>
        <w:r>
          <w:rPr>
            <w:strike w:val="false"/>
            <w:dstrike w:val="false"/>
            <w:sz w:val="24"/>
            <w:szCs w:val="24"/>
          </w:rPr>
          <w:t>.36 час.</w:t>
          <w:br/>
          <w:t>по 1</w:t>
        </w:r>
        <w:r>
          <w:rPr>
            <w:rFonts w:eastAsia="Times New Roman" w:cs="Times New Roman"/>
            <w:strike w:val="false"/>
            <w:dstrike w:val="false"/>
            <w:color w:val="auto"/>
            <w:sz w:val="24"/>
            <w:szCs w:val="24"/>
            <w:lang w:val="ru-RU" w:eastAsia="zh-CN" w:bidi="ar-SA"/>
          </w:rPr>
          <w:t>7</w:t>
        </w:r>
        <w:r>
          <w:rPr>
            <w:strike w:val="false"/>
            <w:dstrike w:val="false"/>
            <w:sz w:val="24"/>
            <w:szCs w:val="24"/>
          </w:rPr>
          <w:t>.00 час.</w:t>
        </w:r>
      </w:hyperlink>
    </w:p>
    <w:p>
      <w:pPr>
        <w:pStyle w:val="Normal"/>
        <w:widowControl/>
        <w:spacing w:lineRule="auto" w:line="240" w:before="0" w:after="0"/>
        <w:ind w:left="0" w:right="0" w:firstLine="567"/>
        <w:jc w:val="both"/>
        <w:rPr/>
      </w:pPr>
      <w:hyperlink r:id="rId7" w:tgtFrame="https://uag.ryazangov.ru/announcements">
        <w:r>
          <w:rPr>
            <w:rFonts w:cs="Times New Roman"/>
            <w:sz w:val="24"/>
            <w:szCs w:val="24"/>
            <w:highlight w:val="white"/>
          </w:rPr>
          <w:t xml:space="preserve">Адрес размещения основной экспозиции: </w:t>
        </w:r>
      </w:hyperlink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shd w:fill="FFFFFF" w:val="clear"/>
          <w:lang w:val="en-US" w:eastAsia="zh-CN" w:bidi="ar-SA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zh-CN" w:bidi="ar-SA"/>
        </w:rPr>
        <w:t>Путятинский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shd w:fill="FFFFFF" w:val="clear"/>
          <w:lang w:val="en-US" w:eastAsia="zh-CN" w:bidi="ar-SA"/>
        </w:rPr>
        <w:t xml:space="preserve"> район,</w:t>
        <w:br/>
        <w:t xml:space="preserve">с. Екатериновка, ул. Переулок Солнечный, д. 13 (здание администрации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zh-CN" w:bidi="ar-SA"/>
        </w:rPr>
        <w:t>территориальный сектор №1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shd w:fill="FFFFFF" w:val="clear"/>
          <w:lang w:val="en-US" w:eastAsia="zh-CN" w:bidi="ar-SA"/>
        </w:rPr>
        <w:t>)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  <w:u w:val="none"/>
          <w:shd w:fill="FFFFFF" w:val="clear"/>
          <w:lang w:val="en-US" w:eastAsia="zh-CN" w:bidi="ar-SA"/>
        </w:rPr>
        <w:t>.</w:t>
      </w:r>
    </w:p>
    <w:p>
      <w:pPr>
        <w:pStyle w:val="Normal"/>
        <w:widowControl/>
        <w:spacing w:lineRule="auto" w:line="240" w:before="0" w:after="0"/>
        <w:ind w:left="0" w:right="0" w:firstLine="567"/>
        <w:jc w:val="both"/>
        <w:rPr/>
      </w:pPr>
      <w:hyperlink r:id="rId8" w:tgtFrame="https://uag.ryazangov.ru/announcements">
        <w:r>
          <w:rPr>
            <w:rFonts w:cs="Times New Roman"/>
            <w:b w:val="false"/>
            <w:bCs w:val="false"/>
            <w:strike w:val="false"/>
            <w:dstrike w:val="false"/>
            <w:sz w:val="24"/>
            <w:szCs w:val="24"/>
            <w:highlight w:val="white"/>
          </w:rPr>
          <w:t xml:space="preserve">Прием предложений и замечаний: </w:t>
        </w:r>
      </w:hyperlink>
      <w:hyperlink r:id="rId9" w:tgtFrame="https://uag.ryazangov.ru/announcements">
        <w:r>
          <w:rPr>
            <w:rFonts w:cs="Times New Roman"/>
            <w:b w:val="false"/>
            <w:bCs w:val="false"/>
            <w:strike w:val="false"/>
            <w:dstrike w:val="false"/>
            <w:sz w:val="24"/>
            <w:szCs w:val="24"/>
            <w:highlight w:val="white"/>
          </w:rPr>
          <w:t xml:space="preserve">с </w:t>
        </w:r>
      </w:hyperlink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sz w:val="24"/>
          <w:szCs w:val="24"/>
          <w:highlight w:val="white"/>
          <w:lang w:val="ru-RU" w:eastAsia="zh-CN" w:bidi="ar-SA"/>
        </w:rPr>
        <w:t>17 июня</w:t>
      </w:r>
      <w:r>
        <w:rPr>
          <w:rFonts w:cs="Times New Roman"/>
          <w:b w:val="false"/>
          <w:bCs w:val="false"/>
          <w:strike w:val="false"/>
          <w:dstrike w:val="false"/>
          <w:sz w:val="24"/>
          <w:szCs w:val="24"/>
          <w:highlight w:val="white"/>
        </w:rPr>
        <w:t xml:space="preserve"> 2024 г. по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sz w:val="24"/>
          <w:szCs w:val="24"/>
          <w:highlight w:val="white"/>
          <w:lang w:val="ru-RU" w:eastAsia="zh-CN" w:bidi="ar-SA"/>
        </w:rPr>
        <w:t>02 июля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sz w:val="24"/>
          <w:szCs w:val="24"/>
          <w:highlight w:val="white"/>
          <w:lang w:val="ru-RU" w:eastAsia="zh-CN" w:bidi="ar-SA"/>
        </w:rPr>
        <w:t xml:space="preserve"> </w:t>
      </w:r>
      <w:r>
        <w:rPr>
          <w:rFonts w:cs="Times New Roman"/>
          <w:b w:val="false"/>
          <w:bCs w:val="false"/>
          <w:strike w:val="false"/>
          <w:dstrike w:val="false"/>
          <w:sz w:val="24"/>
          <w:szCs w:val="24"/>
          <w:highlight w:val="white"/>
        </w:rPr>
        <w:t xml:space="preserve">2024 г., с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sz w:val="24"/>
          <w:szCs w:val="24"/>
          <w:highlight w:val="white"/>
          <w:lang w:val="ru-RU" w:eastAsia="zh-CN" w:bidi="ar-SA"/>
        </w:rPr>
        <w:t>8</w:t>
      </w:r>
      <w:r>
        <w:rPr>
          <w:rFonts w:cs="Times New Roman"/>
          <w:b w:val="false"/>
          <w:bCs w:val="false"/>
          <w:strike w:val="false"/>
          <w:dstrike w:val="false"/>
          <w:sz w:val="24"/>
          <w:szCs w:val="24"/>
          <w:highlight w:val="white"/>
        </w:rPr>
        <w:t>.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sz w:val="24"/>
          <w:szCs w:val="24"/>
          <w:highlight w:val="white"/>
          <w:lang w:val="ru-RU" w:eastAsia="zh-CN" w:bidi="ar-SA"/>
        </w:rPr>
        <w:t>36</w:t>
      </w:r>
      <w:r>
        <w:rPr>
          <w:rFonts w:cs="Times New Roman"/>
          <w:b w:val="false"/>
          <w:bCs w:val="false"/>
          <w:strike w:val="false"/>
          <w:dstrike w:val="false"/>
          <w:sz w:val="24"/>
          <w:szCs w:val="24"/>
          <w:highlight w:val="white"/>
        </w:rPr>
        <w:t xml:space="preserve"> час.</w:t>
        <w:br/>
        <w:t>по 1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auto"/>
          <w:sz w:val="24"/>
          <w:szCs w:val="24"/>
          <w:highlight w:val="white"/>
          <w:lang w:val="ru-RU" w:eastAsia="zh-CN" w:bidi="ar-SA"/>
        </w:rPr>
        <w:t>7</w:t>
      </w:r>
      <w:r>
        <w:rPr>
          <w:rFonts w:cs="Times New Roman"/>
          <w:b w:val="false"/>
          <w:bCs w:val="false"/>
          <w:strike w:val="false"/>
          <w:dstrike w:val="false"/>
          <w:sz w:val="24"/>
          <w:szCs w:val="24"/>
          <w:highlight w:val="white"/>
        </w:rPr>
        <w:t>.00 час.</w:t>
      </w:r>
    </w:p>
    <w:p>
      <w:pPr>
        <w:pStyle w:val="Normal"/>
        <w:widowControl/>
        <w:spacing w:lineRule="auto" w:line="240" w:before="0" w:after="0"/>
        <w:ind w:left="0" w:right="0" w:firstLine="567"/>
        <w:jc w:val="both"/>
        <w:rPr/>
      </w:pPr>
      <w:hyperlink r:id="rId10" w:tgtFrame="https://uag.ryazangov.ru/announcements">
        <w:r>
          <w:rPr>
            <w:rFonts w:eastAsia="Times New Roman" w:cs="Times New Roman"/>
            <w:b/>
            <w:bCs/>
            <w:color w:val="000000"/>
            <w:sz w:val="24"/>
            <w:szCs w:val="24"/>
            <w:highlight w:val="white"/>
            <w:lang w:val="ru-RU" w:eastAsia="zh-CN" w:bidi="ar-SA"/>
          </w:rPr>
          <w:t>Консультирование посетителей экспозиции проекта будет проводиться</w:t>
          <w:br/>
        </w:r>
        <w:r>
          <w:rPr>
            <w:rFonts w:eastAsia="Times New Roman" w:cs="Times New Roman"/>
            <w:b/>
            <w:color w:val="000000"/>
            <w:sz w:val="24"/>
            <w:szCs w:val="24"/>
            <w:highlight w:val="white"/>
            <w:lang w:val="ru-RU" w:eastAsia="zh-CN" w:bidi="ar-SA"/>
          </w:rPr>
          <w:t>в следующем порядке:</w:t>
        </w:r>
      </w:hyperlink>
    </w:p>
    <w:p>
      <w:pPr>
        <w:pStyle w:val="Normal"/>
        <w:ind w:left="-426" w:firstLine="426"/>
        <w:jc w:val="both"/>
        <w:rPr/>
      </w:pPr>
      <w:r>
        <w:rPr>
          <w:rFonts w:eastAsia="Times New Roman" w:cs="Times New Roman"/>
          <w:b/>
          <w:strike w:val="false"/>
          <w:dstrike w:val="false"/>
          <w:color w:val="000000"/>
          <w:sz w:val="24"/>
          <w:szCs w:val="24"/>
          <w:u w:val="single"/>
          <w:lang w:val="ru-RU" w:eastAsia="zh-CN" w:bidi="ar-SA"/>
        </w:rPr>
        <w:t>02.07</w:t>
      </w:r>
      <w:hyperlink r:id="rId11" w:tgtFrame="https://uag.ryazangov.ru/announcements">
        <w:r>
          <w:rPr>
            <w:rFonts w:eastAsia="Times New Roman" w:cs="Times New Roman"/>
            <w:b/>
            <w:strike w:val="false"/>
            <w:dstrike w:val="false"/>
            <w:color w:val="000000"/>
            <w:sz w:val="24"/>
            <w:szCs w:val="24"/>
            <w:u w:val="single"/>
            <w:lang w:val="ru-RU" w:eastAsia="zh-CN" w:bidi="ar-SA"/>
          </w:rPr>
          <w:t>.2024:</w:t>
        </w:r>
      </w:hyperlink>
    </w:p>
    <w:p>
      <w:pPr>
        <w:pStyle w:val="Normal"/>
        <w:widowControl/>
        <w:spacing w:before="0" w:after="0"/>
        <w:ind w:left="0" w:right="0" w:hanging="0"/>
        <w:jc w:val="both"/>
        <w:rPr/>
      </w:pPr>
      <w:hyperlink r:id="rId12" w:tgtFrame="https://uag.ryazangov.ru/announcements">
        <w:r>
          <w:rPr>
            <w:rFonts w:cs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4"/>
            <w:szCs w:val="24"/>
            <w:shd w:fill="FFFFFF" w:val="clear"/>
            <w:lang w:val="en-US"/>
          </w:rPr>
          <w:t>-</w:t>
        </w:r>
      </w:hyperlink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val="en-US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zh-CN" w:bidi="ar-SA"/>
        </w:rPr>
        <w:t>Рязанская область, Путятинский район, с. Екатериновка, ул. Переулок Солнечный,</w:t>
        <w:br/>
        <w:t>д. 13 (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zh-CN" w:bidi="ar-SA"/>
        </w:rPr>
        <w:t>здание администрации территориальный сектор №1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zh-CN" w:bidi="ar-SA"/>
        </w:rPr>
        <w:t>) с 10:25 до 10:45;</w:t>
      </w:r>
    </w:p>
    <w:p>
      <w:pPr>
        <w:pStyle w:val="Normal"/>
        <w:widowControl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zh-CN" w:bidi="ar-SA"/>
        </w:rPr>
        <w:t>- Рязанская область, Путятинский район, п. Зеленая Поляна, ул. Барская (ориентир</w:t>
        <w:br/>
        <w:t>дом 8) с 10:55 до 11:0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zh-CN" w:bidi="ar-SA"/>
        </w:rPr>
        <w:t>5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zh-CN" w:bidi="ar-SA"/>
        </w:rPr>
        <w:t>;</w:t>
      </w:r>
    </w:p>
    <w:p>
      <w:pPr>
        <w:pStyle w:val="Normal"/>
        <w:widowControl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zh-CN" w:bidi="ar-SA"/>
        </w:rPr>
        <w:t>- Рязанская область, Путятинский район, п. Выдерга, ул. Яблочная (ориентир дом 1)</w:t>
        <w:br/>
        <w:t>с 11:25 до 11:3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zh-CN" w:bidi="ar-SA"/>
        </w:rPr>
        <w:t>5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zh-CN" w:bidi="ar-SA"/>
        </w:rPr>
        <w:t>;</w:t>
      </w:r>
    </w:p>
    <w:p>
      <w:pPr>
        <w:pStyle w:val="Normal"/>
        <w:widowControl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zh-CN" w:bidi="ar-SA"/>
        </w:rPr>
        <w:t>- Рязанская область, Путятинский район, с. Воршево (ориентир Воскресенская церковь) с 11:40 до 11: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zh-CN" w:bidi="ar-SA"/>
        </w:rPr>
        <w:t>50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zh-CN" w:bidi="ar-SA"/>
        </w:rPr>
        <w:t>;</w:t>
      </w:r>
    </w:p>
    <w:p>
      <w:pPr>
        <w:pStyle w:val="Normal"/>
        <w:widowControl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zh-CN" w:bidi="ar-SA"/>
        </w:rPr>
        <w:t>- Рязанская область, Путятинский район, п. Тырница, ул. Дачная (ориентир дом 19)</w:t>
        <w:br/>
        <w:t>с 12:00 до 12:05;</w:t>
      </w:r>
    </w:p>
    <w:p>
      <w:pPr>
        <w:pStyle w:val="Normal"/>
        <w:widowControl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zh-CN" w:bidi="ar-SA"/>
        </w:rPr>
        <w:t>- Рязанская область, Путятинский район, п. Александровский Выселки, ул. Староверская (ориентир дом 44) с 12:45 до 12:55;</w:t>
      </w:r>
    </w:p>
    <w:p>
      <w:pPr>
        <w:pStyle w:val="Normal"/>
        <w:widowControl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zh-CN" w:bidi="ar-SA"/>
        </w:rPr>
        <w:t>- Рязанская область, Путятинский район, п. Агрокультура, ул. Сасыкинская (ориентир дом 17)</w:t>
        <w:br/>
        <w:t>с 13:00 до 13:10;</w:t>
      </w:r>
    </w:p>
    <w:p>
      <w:pPr>
        <w:pStyle w:val="Normal"/>
        <w:widowControl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zh-CN" w:bidi="ar-SA"/>
        </w:rPr>
        <w:t>- Рязанская область, Путятинский район, с. Строевское, ул. Новая (ориентир дом 6)</w:t>
        <w:br/>
        <w:t>с 13:15 до 13:25;</w:t>
      </w:r>
    </w:p>
    <w:p>
      <w:pPr>
        <w:pStyle w:val="Normal"/>
        <w:widowControl/>
        <w:spacing w:lineRule="auto" w:line="240" w:before="0" w:after="0"/>
        <w:ind w:left="0" w:right="0" w:hanging="0"/>
        <w:jc w:val="both"/>
        <w:rPr/>
      </w:pPr>
      <w:hyperlink r:id="rId13" w:tgtFrame="https://uag.ryazangov.ru/announcements">
        <w:r>
          <w:rPr>
            <w:rFonts w:eastAsia="Times New Roman" w:cs="Times New Roman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highlight w:val="white"/>
            <w:u w:val="none"/>
            <w:shd w:fill="FFFFFF" w:val="clear"/>
            <w:lang w:val="en-US" w:eastAsia="zh-CN" w:bidi="ar-SA"/>
          </w:rPr>
          <w:t>-</w:t>
        </w:r>
      </w:hyperlink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shd w:fill="FFFFFF" w:val="clear"/>
          <w:lang w:val="en-US" w:eastAsia="zh-CN" w:bidi="ar-SA"/>
        </w:rPr>
        <w:t xml:space="preserve"> 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shd w:fill="FFFFFF" w:val="clear"/>
          <w:lang w:val="en-US" w:eastAsia="zh-CN" w:bidi="ar-SA"/>
        </w:rPr>
        <w:t xml:space="preserve">Рязанская область,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zh-CN" w:bidi="ar-SA"/>
        </w:rPr>
        <w:t>Путятинский</w:t>
      </w:r>
      <w:r>
        <w:rPr>
          <w:rFonts w:eastAsia="PT Astra Serif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shd w:fill="FFFFFF" w:val="clear"/>
          <w:lang w:val="en-US" w:eastAsia="zh-CN" w:bidi="ar-SA"/>
        </w:rPr>
        <w:t xml:space="preserve"> район, п. Суховка, ул. Грибная (ориентир дом 1)</w:t>
        <w:br/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zh-CN" w:bidi="ar-SA"/>
        </w:rPr>
        <w:t>с 13:35 до 13:45</w:t>
      </w:r>
    </w:p>
    <w:p>
      <w:pPr>
        <w:pStyle w:val="Normal"/>
        <w:widowControl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zh-CN" w:bidi="ar-SA"/>
        </w:rPr>
        <w:t>- Рязанская область, Путятинский район,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zh-CN" w:bidi="ar-SA"/>
        </w:rPr>
        <w:t xml:space="preserve"> п. Свободо-Заводской, ул. Свободная (ориентир дом 8) с 14:15 до 14:25;</w:t>
      </w:r>
    </w:p>
    <w:p>
      <w:pPr>
        <w:pStyle w:val="Normal"/>
        <w:widowControl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zh-CN" w:bidi="ar-SA"/>
        </w:rPr>
        <w:t>- Рязанская область, Путятинский район,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zh-CN" w:bidi="ar-SA"/>
        </w:rPr>
        <w:t xml:space="preserve"> п. Александр-Нетрош, ул. Садовая (ориентир дом 3)</w:t>
        <w:br/>
        <w:t>с 14:55 до 15:05;</w:t>
      </w:r>
    </w:p>
    <w:p>
      <w:pPr>
        <w:pStyle w:val="Normal"/>
        <w:widowControl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zh-CN" w:bidi="ar-SA"/>
        </w:rPr>
        <w:t>- Рязанская область, Путятинский район,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zh-CN" w:bidi="ar-SA"/>
        </w:rPr>
        <w:t xml:space="preserve"> д. Александровка (при въезде в населенный пункт)</w:t>
        <w:br/>
        <w:t>с 15:35 до 15:45;</w:t>
      </w:r>
    </w:p>
    <w:p>
      <w:pPr>
        <w:pStyle w:val="Normal"/>
        <w:widowControl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zh-CN" w:bidi="ar-SA"/>
        </w:rPr>
        <w:t>- Рязанская область, Путятинский район,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zh-CN" w:bidi="ar-SA"/>
        </w:rPr>
        <w:t xml:space="preserve"> п. Сергиевка (при въезде в населенный пункт) с 15:55 до 16:05;</w:t>
      </w:r>
    </w:p>
    <w:p>
      <w:pPr>
        <w:pStyle w:val="Normal"/>
        <w:widowControl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zh-CN" w:bidi="ar-SA"/>
        </w:rPr>
        <w:t>- Рязанская область, Путятинский район,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lang w:val="ru-RU" w:eastAsia="zh-CN" w:bidi="ar-SA"/>
        </w:rPr>
        <w:t xml:space="preserve"> п. Пробуждение (при въезде в населенный пункт)</w:t>
        <w:br/>
        <w:t>с 16:30 до 16:40;</w:t>
      </w:r>
    </w:p>
    <w:p>
      <w:pPr>
        <w:pStyle w:val="Normal"/>
        <w:widowControl/>
        <w:spacing w:lineRule="auto" w:line="240" w:before="0" w:after="0"/>
        <w:ind w:left="0" w:right="0" w:hanging="0"/>
        <w:jc w:val="both"/>
        <w:rPr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zh-CN" w:bidi="ar-SA"/>
        </w:rPr>
        <w:t>- Рязанская область, Путятинский район, п. Львиный (при въезде в населенный пункт)</w:t>
        <w:br/>
        <w:t>с 16:45 до 16:55.</w:t>
      </w:r>
    </w:p>
    <w:p>
      <w:pPr>
        <w:pStyle w:val="Normal"/>
        <w:widowControl/>
        <w:spacing w:lineRule="auto" w:line="240" w:before="0" w:after="0"/>
        <w:ind w:left="0" w:right="0" w:firstLine="567"/>
        <w:jc w:val="both"/>
        <w:rPr/>
      </w:pPr>
      <w:hyperlink r:id="rId14" w:tgtFrame="https://uag.ryazangov.ru/announcements"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  <w:highlight w:val="white"/>
          </w:rPr>
          <w:t xml:space="preserve">Основной день проведения консультаций по проекту </w:t>
        </w:r>
        <w:r>
          <w:rPr>
            <w:rFonts w:eastAsia="Times New Roman" w:cs="Times New Roman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  <w:highlight w:val="white"/>
          </w:rPr>
          <w:t>правил</w:t>
        </w:r>
      </w:hyperlink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 xml:space="preserve"> </w:t>
      </w:r>
      <w:hyperlink r:id="rId15" w:tgtFrame="https://uag.ryazangov.ru/announcements">
        <w:r>
          <w:rPr>
            <w:rFonts w:eastAsia="Times New Roman" w:cs="Times New Roman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  <w:highlight w:val="white"/>
          </w:rPr>
          <w:t>землепользования</w:t>
          <w:br/>
          <w:t xml:space="preserve">и застройки муниципального образования </w:t>
        </w:r>
        <w:r>
          <w:rPr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  <w:highlight w:val="white"/>
          </w:rPr>
          <w:t xml:space="preserve">— </w:t>
        </w:r>
      </w:hyperlink>
      <w:hyperlink r:id="rId16" w:tgtFrame="https://uag.ryazangov.ru/announcements">
        <w:r>
          <w:rPr>
            <w:rFonts w:eastAsia="Times New Roman" w:cs="PT Astra Serif"/>
            <w:b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highlight w:val="white"/>
            <w:u w:val="none"/>
            <w:lang w:val="ru-RU" w:eastAsia="zh-CN" w:bidi="ar-SA"/>
          </w:rPr>
          <w:t xml:space="preserve">Путятинский муниципальный округ Рязанской области применительно к территории Воршевского сельского округа Путятинского района Рязанской области будет проходить 02.07.2024 по адресу: </w:t>
        </w:r>
      </w:hyperlink>
      <w:r>
        <w:rPr>
          <w:rFonts w:eastAsia="PT Astra Serif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shd w:fill="FFFFFF" w:val="clear"/>
          <w:lang w:val="en-US" w:eastAsia="zh-CN" w:bidi="ar-SA"/>
        </w:rPr>
        <w:t xml:space="preserve">Рязанская область, 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zh-CN" w:bidi="ar-SA"/>
        </w:rPr>
        <w:t>Путятинский</w:t>
      </w:r>
      <w:r>
        <w:rPr>
          <w:rFonts w:eastAsia="PT Astra Serif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shd w:fill="FFFFFF" w:val="clear"/>
          <w:lang w:val="en-US" w:eastAsia="zh-CN" w:bidi="ar-SA"/>
        </w:rPr>
        <w:t xml:space="preserve"> район, с. Екатериновка, ул. Солнечный переулок, д. 13 (здание администрации территориальный сектор №1)</w:t>
      </w:r>
      <w:r>
        <w:rPr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lang w:val="ru-RU" w:eastAsia="zh-CN" w:bidi="ar-SA"/>
        </w:rPr>
        <w:t xml:space="preserve"> с 10:25 до 10:45.</w:t>
      </w:r>
    </w:p>
    <w:p>
      <w:pPr>
        <w:pStyle w:val="Normal"/>
        <w:widowControl/>
        <w:spacing w:lineRule="auto" w:line="240" w:before="0" w:after="0"/>
        <w:ind w:left="0" w:right="0" w:firstLine="567"/>
        <w:jc w:val="both"/>
        <w:rPr/>
      </w:pPr>
      <w:hyperlink r:id="rId17" w:tgtFrame="https://uag.ryazangov.ru/announcements">
        <w:r>
          <w:rPr>
            <w:sz w:val="24"/>
            <w:szCs w:val="24"/>
          </w:rPr>
          <w:t>Предложения и замечания вносятся участниками общественных обсуждений</w:t>
          <w:br/>
          <w:t>в произвольной форме:</w:t>
        </w:r>
      </w:hyperlink>
    </w:p>
    <w:p>
      <w:pPr>
        <w:pStyle w:val="Normal"/>
        <w:spacing w:lineRule="auto" w:line="240"/>
        <w:jc w:val="both"/>
        <w:rPr/>
      </w:pPr>
      <w:hyperlink r:id="rId18" w:tgtFrame="https://uag.ryazangov.ru/announcements">
        <w:r>
          <w:rPr>
            <w:sz w:val="24"/>
            <w:szCs w:val="24"/>
          </w:rPr>
          <w:t>- посредством официального сайта главного управления архитектуры</w:t>
          <w:br/>
          <w:t>и градостроительства Рязанская област</w:t>
        </w:r>
        <w:r>
          <w:rPr>
            <w:color w:val="000000"/>
            <w:sz w:val="24"/>
            <w:szCs w:val="24"/>
          </w:rPr>
          <w:t>и (https://uag.ryazan.gov.ru/);</w:t>
        </w:r>
      </w:hyperlink>
    </w:p>
    <w:p>
      <w:pPr>
        <w:pStyle w:val="Normal"/>
        <w:spacing w:lineRule="auto" w:line="240"/>
        <w:jc w:val="both"/>
        <w:rPr/>
      </w:pPr>
      <w:hyperlink r:id="rId19" w:tgtFrame="https://uag.ryazangov.ru/announcements">
        <w:r>
          <w:rPr>
            <w:rFonts w:cs="Times New Roman"/>
            <w:sz w:val="24"/>
            <w:szCs w:val="24"/>
          </w:rPr>
          <w:t xml:space="preserve">- в письменной форме в адрес главного управления архитектуры и градостроительства Рязанская области: 390046, ул. Маяковского, 9, корп.1, Рязань, тел/факс (4912) 25-21-01, 25-21-27 </w:t>
        </w:r>
        <w:r>
          <w:rPr>
            <w:rFonts w:cs="Times New Roman"/>
            <w:sz w:val="24"/>
            <w:szCs w:val="24"/>
            <w:lang w:val="en-US"/>
          </w:rPr>
          <w:t>e</w:t>
        </w:r>
        <w:r>
          <w:rPr>
            <w:rFonts w:cs="Times New Roman"/>
            <w:sz w:val="24"/>
            <w:szCs w:val="24"/>
          </w:rPr>
          <w:t>-</w:t>
        </w:r>
        <w:r>
          <w:rPr>
            <w:rFonts w:cs="Times New Roman"/>
            <w:sz w:val="24"/>
            <w:szCs w:val="24"/>
            <w:lang w:val="en-US"/>
          </w:rPr>
          <w:t>ma</w:t>
        </w:r>
        <w:r>
          <w:rPr>
            <w:rFonts w:cs="Times New Roman"/>
            <w:color w:val="000000"/>
            <w:sz w:val="24"/>
            <w:szCs w:val="24"/>
            <w:lang w:val="en-US"/>
          </w:rPr>
          <w:t>il</w:t>
        </w:r>
        <w:r>
          <w:rPr>
            <w:rFonts w:cs="Times New Roman"/>
            <w:color w:val="000000"/>
            <w:sz w:val="24"/>
            <w:szCs w:val="24"/>
          </w:rPr>
          <w:t xml:space="preserve">: </w:t>
        </w:r>
        <w:r>
          <w:rPr>
            <w:rFonts w:cs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/>
            <w:lang w:val="en-US"/>
          </w:rPr>
          <w:t>uag@ryazan.gov.ru</w:t>
        </w:r>
        <w:r>
          <w:rPr>
            <w:rFonts w:cs="Times New Roman"/>
            <w:color w:val="000000"/>
            <w:sz w:val="24"/>
            <w:szCs w:val="24"/>
          </w:rPr>
          <w:t>;</w:t>
        </w:r>
      </w:hyperlink>
    </w:p>
    <w:p>
      <w:pPr>
        <w:pStyle w:val="Normal"/>
        <w:spacing w:lineRule="auto" w:line="240"/>
        <w:jc w:val="both"/>
        <w:rPr/>
      </w:pPr>
      <w:hyperlink r:id="rId20" w:tgtFrame="https://uag.ryazangov.ru/announcements">
        <w:r>
          <w:rPr>
            <w:sz w:val="24"/>
            <w:szCs w:val="24"/>
          </w:rPr>
          <w:t>- посредством записи в книге (журнале) учета посетителей экспозиции проекта.</w:t>
        </w:r>
      </w:hyperlink>
    </w:p>
    <w:p>
      <w:pPr>
        <w:pStyle w:val="Normal"/>
        <w:widowControl/>
        <w:spacing w:lineRule="auto" w:line="240" w:before="0" w:after="0"/>
        <w:ind w:left="0" w:right="0" w:firstLine="567"/>
        <w:jc w:val="both"/>
        <w:rPr/>
      </w:pPr>
      <w:hyperlink r:id="rId21" w:tgtFrame="https://uag.ryazangov.ru/announcements">
        <w:r>
          <w:rPr>
            <w:rFonts w:cs="Times New Roman"/>
            <w:sz w:val="24"/>
            <w:szCs w:val="24"/>
            <w:highlight w:val="white"/>
          </w:rPr>
          <w:t>Участники общественных обсуждений в целях идентификации представляют сведения</w:t>
          <w:br/>
          <w:t>о себе с приложением документов, подтверждающих такие сведения в соответствии с частью 12 статьи 5.1 Градостроительного кодекса РФ</w:t>
        </w:r>
        <w:r>
          <w:rPr>
            <w:rStyle w:val="Style6"/>
            <w:rFonts w:cs="Times New Roman"/>
            <w:sz w:val="24"/>
            <w:szCs w:val="24"/>
            <w:highlight w:val="white"/>
          </w:rPr>
          <w:footnoteReference w:id="2"/>
        </w:r>
        <w:r>
          <w:rPr>
            <w:rFonts w:cs="Times New Roman"/>
            <w:sz w:val="24"/>
            <w:szCs w:val="24"/>
            <w:highlight w:val="white"/>
          </w:rPr>
          <w:t>.</w:t>
        </w:r>
      </w:hyperlink>
    </w:p>
    <w:p>
      <w:pPr>
        <w:pStyle w:val="Normal"/>
        <w:widowControl/>
        <w:spacing w:lineRule="auto" w:line="240" w:before="0" w:after="0"/>
        <w:ind w:left="0" w:right="0" w:firstLine="567"/>
        <w:jc w:val="both"/>
        <w:rPr/>
      </w:pPr>
      <w:hyperlink r:id="rId22" w:tgtFrame="https://uag.ryazangov.ru/announcements">
        <w:r>
          <w:rPr>
            <w:sz w:val="24"/>
            <w:szCs w:val="24"/>
          </w:rPr>
  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  </w:r>
      </w:hyperlink>
    </w:p>
    <w:p>
      <w:pPr>
        <w:pStyle w:val="Normal"/>
        <w:widowControl/>
        <w:spacing w:lineRule="auto" w:line="240" w:before="0" w:after="0"/>
        <w:ind w:left="0" w:right="0" w:firstLine="567"/>
        <w:jc w:val="both"/>
        <w:rPr/>
      </w:pPr>
      <w:hyperlink r:id="rId23" w:tgtFrame="https://uag.ryazangov.ru/announcements">
        <w:r>
          <w:rPr>
            <w:sz w:val="24"/>
            <w:szCs w:val="24"/>
          </w:rPr>
          <w:t xml:space="preserve">С 2022 года устанавливаются новые сроки </w:t>
        </w:r>
        <w:r>
          <w:rPr>
            <w:rFonts w:eastAsia="Times New Roman" w:cs="Times New Roman"/>
            <w:color w:val="auto"/>
            <w:sz w:val="24"/>
            <w:szCs w:val="24"/>
            <w:lang w:val="ru-RU" w:eastAsia="zh-CN" w:bidi="ar-SA"/>
          </w:rPr>
          <w:t>для</w:t>
        </w:r>
        <w:r>
          <w:rPr>
            <w:sz w:val="24"/>
            <w:szCs w:val="24"/>
          </w:rPr>
          <w:t xml:space="preserve"> осуществления градостроительной деятельности в соответствии с Федеральным законом от 14.03.2022 № 58-ФЗ</w:t>
          <w:br/>
          <w:t>"О внесении изменений в отдельные законодательные акты Российской Федерации".</w:t>
        </w:r>
      </w:hyperlink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17"/>
          <w:szCs w:val="17"/>
        </w:rPr>
      </w:pPr>
      <w:hyperlink r:id="rId24" w:tgtFrame="https://uag.ryazangov.ru/announcements">
        <w:r>
          <w:rPr>
            <w:rFonts w:cs="Times New Roman"/>
            <w:sz w:val="17"/>
            <w:szCs w:val="17"/>
          </w:rPr>
  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  </w:r>
      </w:hyperlink>
    </w:p>
    <w:p>
      <w:pPr>
        <w:pStyle w:val="Normal"/>
        <w:widowControl w:val="false"/>
        <w:jc w:val="both"/>
        <w:rPr>
          <w:sz w:val="17"/>
          <w:szCs w:val="17"/>
        </w:rPr>
      </w:pPr>
      <w:hyperlink r:id="rId25" w:tgtFrame="https://uag.ryazangov.ru/announcements">
        <w:r>
          <w:rPr>
            <w:rFonts w:cs="Times New Roman"/>
            <w:sz w:val="17"/>
            <w:szCs w:val="17"/>
          </w:rPr>
  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</w:r>
      </w:hyperlink>
    </w:p>
    <w:p>
      <w:pPr>
        <w:pStyle w:val="Normal"/>
        <w:widowControl w:val="false"/>
        <w:jc w:val="both"/>
        <w:rPr>
          <w:sz w:val="17"/>
          <w:szCs w:val="17"/>
        </w:rPr>
      </w:pPr>
      <w:hyperlink r:id="rId26" w:tgtFrame="https://uag.ryazangov.ru/announcements">
        <w:r>
          <w:rPr>
            <w:rFonts w:cs="Times New Roman"/>
            <w:sz w:val="17"/>
            <w:szCs w:val="17"/>
          </w:rPr>
          <w:t xml:space="preserve">Не требуется представление указанных выше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  </w:r>
      </w:hyperlink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sz w:val="17"/>
          <w:szCs w:val="17"/>
        </w:rPr>
      </w:pPr>
      <w:hyperlink r:id="rId27" w:tgtFrame="https://uag.ryazangov.ru/announcements">
        <w:r>
          <w:rPr>
            <w:rFonts w:cs="Times New Roman"/>
            <w:b w:val="false"/>
            <w:bCs w:val="false"/>
            <w:strike w:val="false"/>
            <w:dstrike w:val="false"/>
            <w:sz w:val="17"/>
            <w:szCs w:val="17"/>
            <w:highlight w:val="white"/>
          </w:rPr>
          <w:t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  </w:r>
      </w:hyperlink>
    </w:p>
    <w:sectPr>
      <w:headerReference w:type="default" r:id="rId28"/>
      <w:headerReference w:type="first" r:id="rId29"/>
      <w:footnotePr>
        <w:numFmt w:val="decimal"/>
      </w:footnotePr>
      <w:type w:val="nextPage"/>
      <w:pgSz w:w="11906" w:h="16838"/>
      <w:pgMar w:left="1276" w:right="708" w:header="0" w:top="855" w:footer="0" w:bottom="743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  <w:font w:name="Cambria">
    <w:charset w:val="01"/>
    <w:family w:val="swiss"/>
    <w:pitch w:val="default"/>
  </w:font>
  <w:font w:name="Courier New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PT Astra Serif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Style16"/>
        </w:rPr>
        <w:footnoteRef/>
      </w: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paragraph" w:styleId="1">
    <w:name w:val="Heading 1"/>
    <w:basedOn w:val="Normal"/>
    <w:link w:val="664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link w:val="715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link w:val="728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75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729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768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Style5">
    <w:name w:val="Интернет-ссылка"/>
    <w:uiPriority w:val="99"/>
    <w:unhideWhenUsed/>
    <w:rPr>
      <w:color w:val="0000FF"/>
      <w:u w:val="single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Heading1Char">
    <w:name w:val="Heading 1 Char"/>
    <w:basedOn w:val="DefaultParagraphFont"/>
    <w:link w:val="660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668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716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75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75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64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76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769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766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8">
    <w:name w:val="Основной шрифт абзаца"/>
    <w:qFormat/>
    <w:rPr/>
  </w:style>
  <w:style w:type="character" w:styleId="Style9">
    <w:name w:val="Верх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0">
    <w:name w:val="Номер страницы"/>
    <w:basedOn w:val="Style8"/>
    <w:rPr/>
  </w:style>
  <w:style w:type="character" w:styleId="Style11">
    <w:name w:val="Нижний колонтитул Знак"/>
    <w:qFormat/>
    <w:rPr>
      <w:rFonts w:ascii="Times New Roman" w:hAnsi="Times New Roman" w:eastAsia="Times New Roman" w:cs="Times New Roman"/>
      <w:sz w:val="26"/>
      <w:szCs w:val="20"/>
    </w:rPr>
  </w:style>
  <w:style w:type="character" w:styleId="Style1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Style13">
    <w:name w:val="Основной текст Знак"/>
    <w:qFormat/>
    <w:rPr>
      <w:rFonts w:ascii="Times New Roman" w:hAnsi="Times New Roman" w:eastAsia="Times New Roman" w:cs="Times New Roman"/>
      <w:sz w:val="28"/>
      <w:lang w:val="en-US"/>
    </w:rPr>
  </w:style>
  <w:style w:type="character" w:styleId="Style14">
    <w:name w:val="Текст сноски Знак"/>
    <w:qFormat/>
    <w:rPr>
      <w:sz w:val="20"/>
    </w:rPr>
  </w:style>
  <w:style w:type="character" w:styleId="21">
    <w:name w:val="Заголовок 2 Знак"/>
    <w:qFormat/>
    <w:rPr>
      <w:rFonts w:ascii="Times New Roman" w:hAnsi="Times New Roman" w:eastAsia="Times New Roman" w:cs="Times New Roman"/>
      <w:b/>
      <w:sz w:val="36"/>
    </w:rPr>
  </w:style>
  <w:style w:type="character" w:styleId="WW">
    <w:name w:val="WW-Символ концевой сноски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11">
    <w:name w:val="Основной шрифт абзаца1"/>
    <w:qFormat/>
    <w:rPr/>
  </w:style>
  <w:style w:type="character" w:styleId="Style15">
    <w:name w:val="Символ концевой сноски"/>
    <w:qFormat/>
    <w:rPr/>
  </w:style>
  <w:style w:type="character" w:styleId="Style16">
    <w:name w:val="Символ сноски"/>
    <w:qFormat/>
    <w:rPr/>
  </w:style>
  <w:style w:type="character" w:styleId="DefaultParagraphFont" w:default="1">
    <w:name w:val="Default Paragraph Font"/>
    <w:qFormat/>
    <w:rPr/>
  </w:style>
  <w:style w:type="character" w:styleId="12">
    <w:name w:val="Знак Знак1"/>
    <w:qFormat/>
    <w:rPr>
      <w:rFonts w:eastAsia="Times New Roman"/>
      <w:sz w:val="26"/>
      <w:szCs w:val="26"/>
      <w:lang w:eastAsia="ru-RU"/>
    </w:rPr>
  </w:style>
  <w:style w:type="character" w:styleId="Style17">
    <w:name w:val="Основной текст с отступом Знак"/>
    <w:qFormat/>
    <w:rPr>
      <w:rFonts w:eastAsia="Times New Roman"/>
      <w:sz w:val="26"/>
      <w:szCs w:val="26"/>
    </w:rPr>
  </w:style>
  <w:style w:type="character" w:styleId="211">
    <w:name w:val="Основной текст 2 Знак1"/>
    <w:qFormat/>
    <w:rPr>
      <w:rFonts w:eastAsia="Times New Roman"/>
      <w:sz w:val="24"/>
      <w:szCs w:val="24"/>
      <w:lang w:eastAsia="ru-RU"/>
    </w:rPr>
  </w:style>
  <w:style w:type="character" w:styleId="Style18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13">
    <w:name w:val="Заголовок 1 Знак"/>
    <w:qFormat/>
    <w:rPr>
      <w:rFonts w:ascii="Cambria" w:hAnsi="Cambria" w:eastAsia="Times New Roman"/>
      <w:b/>
      <w:bCs/>
      <w:sz w:val="32"/>
      <w:szCs w:val="32"/>
    </w:rPr>
  </w:style>
  <w:style w:type="character" w:styleId="WW8Num22z2">
    <w:name w:val="WW8Num22z2"/>
    <w:qFormat/>
    <w:rPr>
      <w:rFonts w:eastAsia="Times New Roman"/>
    </w:rPr>
  </w:style>
  <w:style w:type="character" w:styleId="WW8Num22z1">
    <w:name w:val="WW8Num22z1"/>
    <w:qFormat/>
    <w:rPr>
      <w:rFonts w:ascii="Times New Roman" w:hAnsi="Times New Roman" w:eastAsia="Times New Roman"/>
    </w:rPr>
  </w:style>
  <w:style w:type="character" w:styleId="WW8Num22z0">
    <w:name w:val="WW8Num22z0"/>
    <w:qFormat/>
    <w:rPr>
      <w:rFonts w:eastAsia="Times New Roman"/>
    </w:rPr>
  </w:style>
  <w:style w:type="character" w:styleId="WW8Num21z1">
    <w:name w:val="WW8Num21z1"/>
    <w:qFormat/>
    <w:rPr>
      <w:rFonts w:eastAsia="Times New Roman"/>
    </w:rPr>
  </w:style>
  <w:style w:type="character" w:styleId="WW8Num21z0">
    <w:name w:val="WW8Num21z0"/>
    <w:qFormat/>
    <w:rPr>
      <w:rFonts w:eastAsia="Times New Roman"/>
    </w:rPr>
  </w:style>
  <w:style w:type="character" w:styleId="WW8Num20z1">
    <w:name w:val="WW8Num20z1"/>
    <w:qFormat/>
    <w:rPr>
      <w:rFonts w:eastAsia="Times New Roman"/>
    </w:rPr>
  </w:style>
  <w:style w:type="character" w:styleId="WW8Num20z0">
    <w:name w:val="WW8Num20z0"/>
    <w:qFormat/>
    <w:rPr>
      <w:rFonts w:eastAsia="Times New Roman"/>
    </w:rPr>
  </w:style>
  <w:style w:type="character" w:styleId="WW8Num19z1">
    <w:name w:val="WW8Num19z1"/>
    <w:qFormat/>
    <w:rPr>
      <w:rFonts w:eastAsia="Times New Roman"/>
    </w:rPr>
  </w:style>
  <w:style w:type="character" w:styleId="WW8Num19z0">
    <w:name w:val="WW8Num19z0"/>
    <w:qFormat/>
    <w:rPr>
      <w:rFonts w:eastAsia="Times New Roman"/>
    </w:rPr>
  </w:style>
  <w:style w:type="character" w:styleId="WW8Num18z1">
    <w:name w:val="WW8Num18z1"/>
    <w:qFormat/>
    <w:rPr>
      <w:rFonts w:eastAsia="Times New Roman"/>
    </w:rPr>
  </w:style>
  <w:style w:type="character" w:styleId="WW8Num18z0">
    <w:name w:val="WW8Num18z0"/>
    <w:qFormat/>
    <w:rPr>
      <w:rFonts w:eastAsia="Times New Roman"/>
    </w:rPr>
  </w:style>
  <w:style w:type="character" w:styleId="WW8Num17z0">
    <w:name w:val="WW8Num17z0"/>
    <w:qFormat/>
    <w:rPr>
      <w:rFonts w:eastAsia="Times New Roman"/>
    </w:rPr>
  </w:style>
  <w:style w:type="character" w:styleId="WW8Num16z1">
    <w:name w:val="WW8Num16z1"/>
    <w:qFormat/>
    <w:rPr>
      <w:rFonts w:eastAsia="Times New Roman"/>
    </w:rPr>
  </w:style>
  <w:style w:type="character" w:styleId="WW8Num16z0">
    <w:name w:val="WW8Num16z0"/>
    <w:qFormat/>
    <w:rPr>
      <w:rFonts w:eastAsia="Times New Roman"/>
    </w:rPr>
  </w:style>
  <w:style w:type="character" w:styleId="WW8Num15z1">
    <w:name w:val="WW8Num15z1"/>
    <w:qFormat/>
    <w:rPr>
      <w:rFonts w:eastAsia="Times New Roman"/>
    </w:rPr>
  </w:style>
  <w:style w:type="character" w:styleId="WW8Num15z0">
    <w:name w:val="WW8Num15z0"/>
    <w:qFormat/>
    <w:rPr>
      <w:rFonts w:eastAsia="Times New Roman"/>
    </w:rPr>
  </w:style>
  <w:style w:type="character" w:styleId="WW8Num14z0">
    <w:name w:val="WW8Num14z0"/>
    <w:qFormat/>
    <w:rPr>
      <w:rFonts w:eastAsia="Times New Roman"/>
    </w:rPr>
  </w:style>
  <w:style w:type="character" w:styleId="WW8Num13z1">
    <w:name w:val="WW8Num13z1"/>
    <w:qFormat/>
    <w:rPr>
      <w:rFonts w:eastAsia="Times New Roman"/>
    </w:rPr>
  </w:style>
  <w:style w:type="character" w:styleId="WW8Num13z0">
    <w:name w:val="WW8Num13z0"/>
    <w:qFormat/>
    <w:rPr>
      <w:rFonts w:eastAsia="Times New Roman"/>
    </w:rPr>
  </w:style>
  <w:style w:type="character" w:styleId="WW8Num12z1">
    <w:name w:val="WW8Num12z1"/>
    <w:qFormat/>
    <w:rPr>
      <w:rFonts w:eastAsia="Times New Roman"/>
    </w:rPr>
  </w:style>
  <w:style w:type="character" w:styleId="WW8Num12z0">
    <w:name w:val="WW8Num12z0"/>
    <w:qFormat/>
    <w:rPr>
      <w:rFonts w:eastAsia="Times New Roman"/>
    </w:rPr>
  </w:style>
  <w:style w:type="character" w:styleId="WW8Num11z1">
    <w:name w:val="WW8Num11z1"/>
    <w:qFormat/>
    <w:rPr>
      <w:rFonts w:eastAsia="Times New Roman"/>
    </w:rPr>
  </w:style>
  <w:style w:type="character" w:styleId="WW8Num11z0">
    <w:name w:val="WW8Num11z0"/>
    <w:qFormat/>
    <w:rPr>
      <w:rFonts w:eastAsia="Times New Roman"/>
    </w:rPr>
  </w:style>
  <w:style w:type="character" w:styleId="WW8Num10z1">
    <w:name w:val="WW8Num10z1"/>
    <w:qFormat/>
    <w:rPr>
      <w:rFonts w:eastAsia="Times New Roman"/>
    </w:rPr>
  </w:style>
  <w:style w:type="character" w:styleId="WW8Num10z0">
    <w:name w:val="WW8Num10z0"/>
    <w:qFormat/>
    <w:rPr>
      <w:rFonts w:eastAsia="Times New Roman"/>
    </w:rPr>
  </w:style>
  <w:style w:type="character" w:styleId="WW8Num9z1">
    <w:name w:val="WW8Num9z1"/>
    <w:qFormat/>
    <w:rPr>
      <w:rFonts w:eastAsia="Times New Roman"/>
    </w:rPr>
  </w:style>
  <w:style w:type="character" w:styleId="WW8Num9z0">
    <w:name w:val="WW8Num9z0"/>
    <w:qFormat/>
    <w:rPr>
      <w:rFonts w:eastAsia="Times New Roman"/>
    </w:rPr>
  </w:style>
  <w:style w:type="character" w:styleId="WW8Num8z0">
    <w:name w:val="WW8Num8z0"/>
    <w:qFormat/>
    <w:rPr>
      <w:rFonts w:eastAsia="Times New Roman"/>
    </w:rPr>
  </w:style>
  <w:style w:type="character" w:styleId="WW8Num7z1">
    <w:name w:val="WW8Num7z1"/>
    <w:qFormat/>
    <w:rPr>
      <w:rFonts w:eastAsia="Times New Roman"/>
    </w:rPr>
  </w:style>
  <w:style w:type="character" w:styleId="WW8Num7z0">
    <w:name w:val="WW8Num7z0"/>
    <w:qFormat/>
    <w:rPr>
      <w:rFonts w:eastAsia="Times New Roman"/>
    </w:rPr>
  </w:style>
  <w:style w:type="character" w:styleId="WW8Num6z1">
    <w:name w:val="WW8Num6z1"/>
    <w:qFormat/>
    <w:rPr>
      <w:rFonts w:eastAsia="Times New Roman"/>
    </w:rPr>
  </w:style>
  <w:style w:type="character" w:styleId="WW8Num6z0">
    <w:name w:val="WW8Num6z0"/>
    <w:qFormat/>
    <w:rPr>
      <w:rFonts w:eastAsia="Times New Roman"/>
    </w:rPr>
  </w:style>
  <w:style w:type="character" w:styleId="WW8Num5z1">
    <w:name w:val="WW8Num5z1"/>
    <w:qFormat/>
    <w:rPr>
      <w:rFonts w:eastAsia="Times New Roman"/>
    </w:rPr>
  </w:style>
  <w:style w:type="character" w:styleId="WW8Num5z0">
    <w:name w:val="WW8Num5z0"/>
    <w:qFormat/>
    <w:rPr>
      <w:rFonts w:eastAsia="Times New Roman"/>
    </w:rPr>
  </w:style>
  <w:style w:type="character" w:styleId="WW8Num4z1">
    <w:name w:val="WW8Num4z1"/>
    <w:qFormat/>
    <w:rPr>
      <w:rFonts w:eastAsia="Times New Roman"/>
    </w:rPr>
  </w:style>
  <w:style w:type="character" w:styleId="WW8Num4z0">
    <w:name w:val="WW8Num4z0"/>
    <w:qFormat/>
    <w:rPr>
      <w:rFonts w:eastAsia="Times New Roman"/>
    </w:rPr>
  </w:style>
  <w:style w:type="character" w:styleId="WW8Num3z0">
    <w:name w:val="WW8Num3z0"/>
    <w:qFormat/>
    <w:rPr>
      <w:rFonts w:eastAsia="Times New Roman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14">
    <w:name w:val="Нижний колонтитул Знак1"/>
    <w:qFormat/>
    <w:rPr>
      <w:rFonts w:ascii="Times New Roman" w:hAnsi="Times New Roman" w:eastAsia="Calibri"/>
      <w:lang w:eastAsia="zh-CN"/>
    </w:rPr>
  </w:style>
  <w:style w:type="character" w:styleId="15">
    <w:name w:val="Верхний колонтитул Знак1"/>
    <w:qFormat/>
    <w:rPr>
      <w:rFonts w:ascii="Times New Roman" w:hAnsi="Times New Roman" w:eastAsia="Calibri"/>
      <w:lang w:eastAsia="zh-CN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Sans" w:hAnsi="PT Sans" w:cs="Noto Sans Devanagari"/>
    </w:rPr>
  </w:style>
  <w:style w:type="paragraph" w:styleId="Style22">
    <w:name w:val="Caption"/>
    <w:basedOn w:val="Normal"/>
    <w:qFormat/>
    <w:pPr>
      <w:widowControl/>
      <w:spacing w:before="120" w:after="120"/>
      <w:jc w:val="left"/>
    </w:pPr>
    <w:rPr>
      <w:rFonts w:ascii="PT Sans" w:hAnsi="PT Sans" w:eastAsia="Noto Sans Devanagari"/>
      <w:i/>
      <w:color w:val="auto"/>
      <w:sz w:val="24"/>
      <w:lang w:val="ru-RU" w:eastAsia="ar-SA"/>
    </w:rPr>
  </w:style>
  <w:style w:type="paragraph" w:styleId="Style23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PT Sans" w:hAnsi="PT Sans" w:eastAsia="Tahoma" w:cs="Noto Sans Devanagari"/>
      <w:color w:val="auto"/>
      <w:kern w:val="0"/>
      <w:sz w:val="26"/>
      <w:szCs w:val="24"/>
      <w:lang w:val="ru-RU" w:eastAsia="zh-CN" w:bidi="hi-IN"/>
    </w:rPr>
  </w:style>
  <w:style w:type="paragraph" w:styleId="Style24">
    <w:name w:val="Title"/>
    <w:basedOn w:val="Normal"/>
    <w:link w:val="76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before="0" w:after="0"/>
      <w:ind w:left="720" w:right="720" w:hanging="0"/>
    </w:pPr>
    <w:rPr>
      <w:i/>
    </w:rPr>
  </w:style>
  <w:style w:type="paragraph" w:styleId="16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PT Sans" w:hAnsi="PT Sans" w:eastAsia="Tahoma" w:cs="Noto Sans Devanagari"/>
      <w:color w:val="auto"/>
      <w:kern w:val="0"/>
      <w:sz w:val="26"/>
      <w:szCs w:val="24"/>
      <w:lang w:val="ru-RU" w:eastAsia="zh-CN" w:bidi="hi-IN"/>
    </w:rPr>
  </w:style>
  <w:style w:type="paragraph" w:styleId="Style26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Normal"/>
    <w:pPr/>
    <w:rPr/>
  </w:style>
  <w:style w:type="paragraph" w:styleId="Style28">
    <w:name w:val="Footer"/>
    <w:basedOn w:val="Normal"/>
    <w:pPr/>
    <w:rPr/>
  </w:style>
  <w:style w:type="paragraph" w:styleId="Style29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Headertext">
    <w:name w:val="headertext"/>
    <w:basedOn w:val="Normal"/>
    <w:qFormat/>
    <w:pPr>
      <w:widowControl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Formattext">
    <w:name w:val="formattext"/>
    <w:basedOn w:val="Normal"/>
    <w:qFormat/>
    <w:pPr>
      <w:widowControl/>
      <w:spacing w:lineRule="auto" w:line="240" w:before="280" w:after="280"/>
      <w:jc w:val="left"/>
    </w:pPr>
    <w:rPr>
      <w:rFonts w:ascii="Times New Roman" w:hAnsi="Times New Roman" w:eastAsia="Times New Roman" w:cs="Times New Roman"/>
      <w:color w:val="auto"/>
      <w:sz w:val="24"/>
      <w:lang w:val="ru-RU" w:eastAsia="ar-SA"/>
    </w:rPr>
  </w:style>
  <w:style w:type="paragraph" w:styleId="Style30">
    <w:name w:val="Содержимое таблицы"/>
    <w:basedOn w:val="Normal"/>
    <w:qFormat/>
    <w:pPr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Style32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33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34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17">
    <w:name w:val="Название объекта1"/>
    <w:basedOn w:val="Normal"/>
    <w:qFormat/>
    <w:pPr>
      <w:widowControl/>
      <w:spacing w:lineRule="auto" w:line="288"/>
      <w:jc w:val="center"/>
    </w:pPr>
    <w:rPr>
      <w:rFonts w:ascii="Times New Roman" w:hAnsi="Times New Roman" w:eastAsia="Times New Roman"/>
      <w:b/>
      <w:color w:val="auto"/>
      <w:sz w:val="36"/>
      <w:lang w:val="ru-RU" w:eastAsia="ar-SA"/>
    </w:rPr>
  </w:style>
  <w:style w:type="paragraph" w:styleId="Indexheading">
    <w:name w:val="index heading"/>
    <w:basedOn w:val="Normal"/>
    <w:qFormat/>
    <w:pPr>
      <w:widowControl/>
      <w:jc w:val="left"/>
    </w:pPr>
    <w:rPr>
      <w:rFonts w:ascii="PT Sans" w:hAnsi="PT Sans" w:eastAsia="Noto Sans Devanagari"/>
      <w:color w:val="auto"/>
      <w:sz w:val="26"/>
      <w:lang w:val="ru-RU" w:eastAsia="ar-SA"/>
    </w:rPr>
  </w:style>
  <w:style w:type="paragraph" w:styleId="Style35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221">
    <w:name w:val="Основной текст 22"/>
    <w:basedOn w:val="Normal"/>
    <w:qFormat/>
    <w:pPr>
      <w:spacing w:lineRule="auto" w:line="480" w:before="0" w:after="120"/>
    </w:pPr>
    <w:rPr/>
  </w:style>
  <w:style w:type="paragraph" w:styleId="18">
    <w:name w:val="Текст1"/>
    <w:basedOn w:val="Normal"/>
    <w:qFormat/>
    <w:pPr/>
    <w:rPr>
      <w:rFonts w:ascii="Courier New" w:hAnsi="Courier New" w:eastAsia="Courier New"/>
      <w:sz w:val="20"/>
      <w:lang w:eastAsia="ar-SA"/>
    </w:rPr>
  </w:style>
  <w:style w:type="paragraph" w:styleId="212">
    <w:name w:val="Основной текст 21"/>
    <w:basedOn w:val="Normal"/>
    <w:qFormat/>
    <w:pPr>
      <w:jc w:val="both"/>
    </w:pPr>
    <w:rPr>
      <w:sz w:val="28"/>
    </w:rPr>
  </w:style>
  <w:style w:type="paragraph" w:styleId="Context">
    <w:name w:val="Contex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color w:val="00FF00"/>
      <w:kern w:val="0"/>
      <w:sz w:val="20"/>
      <w:szCs w:val="20"/>
      <w:u w:val="single"/>
      <w:lang w:val="ru-RU" w:eastAsia="ar-SA" w:bidi="hi-IN"/>
    </w:rPr>
  </w:style>
  <w:style w:type="paragraph" w:styleId="Style36">
    <w:name w:val="Неформатированный текст Кодекс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000000"/>
      <w:kern w:val="0"/>
      <w:sz w:val="20"/>
      <w:szCs w:val="20"/>
      <w:lang w:val="ru-RU" w:eastAsia="ar-SA" w:bidi="hi-IN"/>
    </w:rPr>
  </w:style>
  <w:style w:type="paragraph" w:styleId="Style37">
    <w:name w:val="Заголовок документа Кодекс"/>
    <w:qFormat/>
    <w:pPr>
      <w:widowControl w:val="false"/>
      <w:suppressAutoHyphens w:val="true"/>
      <w:bidi w:val="0"/>
      <w:spacing w:before="0" w:after="0"/>
      <w:jc w:val="center"/>
    </w:pPr>
    <w:rPr>
      <w:rFonts w:ascii="Arial" w:hAnsi="Arial" w:eastAsia="Arial" w:cs="Liberation Serif"/>
      <w:b/>
      <w:bCs/>
      <w:color w:val="000000"/>
      <w:kern w:val="0"/>
      <w:sz w:val="22"/>
      <w:szCs w:val="22"/>
      <w:lang w:val="ru-RU" w:eastAsia="ar-SA" w:bidi="hi-IN"/>
    </w:rPr>
  </w:style>
  <w:style w:type="paragraph" w:styleId="19">
    <w:name w:val="Текст документа Кодекс1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0"/>
      <w:sz w:val="18"/>
      <w:szCs w:val="18"/>
      <w:lang w:val="ru-RU" w:eastAsia="ar-SA" w:bidi="hi-IN"/>
    </w:rPr>
  </w:style>
  <w:style w:type="paragraph" w:styleId="Style38">
    <w:name w:val="Текст документа Кодекс"/>
    <w:qFormat/>
    <w:pPr>
      <w:widowControl w:val="false"/>
      <w:suppressAutoHyphens w:val="true"/>
      <w:bidi w:val="0"/>
      <w:spacing w:before="0" w:after="0"/>
      <w:jc w:val="both"/>
    </w:pPr>
    <w:rPr>
      <w:rFonts w:ascii="Arial" w:hAnsi="Arial" w:eastAsia="Arial" w:cs="Liberation Serif"/>
      <w:color w:val="000000"/>
      <w:kern w:val="0"/>
      <w:sz w:val="18"/>
      <w:szCs w:val="18"/>
      <w:lang w:val="ru-RU" w:eastAsia="ar-SA" w:bidi="hi-IN"/>
    </w:rPr>
  </w:style>
  <w:style w:type="paragraph" w:styleId="ConsTitle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0"/>
      <w:sz w:val="16"/>
      <w:szCs w:val="16"/>
      <w:lang w:val="ru-RU" w:eastAsia="ar-SA" w:bidi="hi-IN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0"/>
      <w:sz w:val="20"/>
      <w:szCs w:val="20"/>
      <w:lang w:val="ru-RU" w:eastAsia="ar-SA" w:bidi="hi-IN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Liberation Serif"/>
      <w:color w:val="auto"/>
      <w:kern w:val="0"/>
      <w:sz w:val="20"/>
      <w:szCs w:val="20"/>
      <w:lang w:val="ru-RU" w:eastAsia="ar-SA" w:bidi="hi-IN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39">
    <w:name w:val="Название объекта"/>
    <w:basedOn w:val="Normal"/>
    <w:qFormat/>
    <w:pPr>
      <w:spacing w:lineRule="auto" w:line="288"/>
      <w:jc w:val="center"/>
    </w:pPr>
    <w:rPr>
      <w:b/>
      <w:sz w:val="36"/>
    </w:rPr>
  </w:style>
  <w:style w:type="paragraph" w:styleId="32">
    <w:name w:val="Нижний колонтитул3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33">
    <w:name w:val="Верхний колонтитул3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24">
    <w:name w:val="Нижний колонтитул2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25">
    <w:name w:val="Верхний колонтитул2"/>
    <w:qFormat/>
    <w:pPr>
      <w:widowControl/>
      <w:suppressAutoHyphens w:val="true"/>
      <w:bidi w:val="0"/>
      <w:spacing w:before="0" w:after="0"/>
      <w:ind w:firstLine="567"/>
      <w:jc w:val="left"/>
    </w:pPr>
    <w:rPr>
      <w:rFonts w:ascii="PT Sans" w:hAnsi="PT Sans" w:eastAsia="Tahoma" w:cs="Noto Sans Devanagari"/>
      <w:color w:val="auto"/>
      <w:kern w:val="0"/>
      <w:sz w:val="24"/>
      <w:szCs w:val="24"/>
      <w:lang w:val="ru-RU" w:eastAsia="zh-CN" w:bidi="hi-IN"/>
    </w:rPr>
  </w:style>
  <w:style w:type="paragraph" w:styleId="110">
    <w:name w:val="Обычная таблица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ru-RU" w:eastAsia="hi-IN" w:bidi="hi-IN"/>
    </w:rPr>
  </w:style>
  <w:style w:type="paragraph" w:styleId="111">
    <w:name w:val="Нижний колонтитул1"/>
    <w:basedOn w:val="Normal"/>
    <w:qFormat/>
    <w:pPr>
      <w:ind w:firstLine="567"/>
    </w:pPr>
    <w:rPr>
      <w:lang w:eastAsia="zh-CN"/>
    </w:rPr>
  </w:style>
  <w:style w:type="paragraph" w:styleId="112">
    <w:name w:val="Верхний колонтитул1"/>
    <w:basedOn w:val="Normal"/>
    <w:qFormat/>
    <w:pPr>
      <w:ind w:hanging="0"/>
      <w:jc w:val="center"/>
    </w:pPr>
    <w:rPr>
      <w:lang w:eastAsia="zh-CN"/>
    </w:rPr>
  </w:style>
  <w:style w:type="paragraph" w:styleId="113">
    <w:name w:val="Заголовок1"/>
    <w:basedOn w:val="Normal"/>
    <w:qFormat/>
    <w:pPr>
      <w:keepNext w:val="true"/>
      <w:spacing w:before="240" w:after="120"/>
      <w:ind w:firstLine="567"/>
    </w:pPr>
    <w:rPr>
      <w:rFonts w:ascii="Liberation Sans" w:hAnsi="Liberation Sans" w:eastAsia="Arial"/>
      <w:sz w:val="28"/>
      <w:szCs w:val="28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styleId="480">
    <w:name w:val="Table Grid"/>
    <w:uiPriority w:val="59"/>
    <w:pPr>
      <w:spacing w:after="0" w:line="240" w:lineRule="auto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1">
    <w:name w:val="Table Grid Light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2">
    <w:name w:val="Plain Table 1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FFFFF" w:themeFill="text1" w:themeFillTint="d"/>
      </w:tcPr>
    </w:tblStylePr>
    <w:tblStylePr w:type="band1Vert">
      <w:tblPr/>
      <w:tcPr>
        <w:shd w:val="clear" w:color="FFFFFF" w:fill="FFFFFF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483">
    <w:name w:val="Plain Table 2"/>
    <w:uiPriority w:val="59"/>
    <w:pPr>
      <w:spacing w:after="0" w:line="240" w:lineRule="auto"/>
    </w:pPr>
    <w:tblPr>
      <w:tblInd w:w="0" w:type="dxa"/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48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48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48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FFFFFF" w:fill="FFFFFF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 w:fill="FFFFFF"/>
      </w:tcPr>
    </w:tblStylePr>
  </w:style>
  <w:style w:type="table" w:styleId="48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48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48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49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49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49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49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49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49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49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49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49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49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50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FFFFFF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50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50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50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50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50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50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50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</w:style>
  <w:style w:type="table" w:styleId="50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50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FFFFFF" w:fill="FFFFFF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51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51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FFFFFF" w:fill="FFFFFF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51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51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51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51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text1" w:themeFillTint="75"/>
      </w:tcPr>
    </w:tblStylePr>
    <w:tblStylePr w:type="band1Vert">
      <w:tblPr/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text1"/>
      </w:tcPr>
    </w:tblStylePr>
  </w:style>
  <w:style w:type="table" w:styleId="51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1" w:themeFillTint="75"/>
      </w:tcPr>
    </w:tblStylePr>
    <w:tblStylePr w:type="band1Vert">
      <w:tblPr/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1"/>
      </w:tcPr>
    </w:tblStylePr>
  </w:style>
  <w:style w:type="table" w:styleId="51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2" w:themeFillTint="75"/>
      </w:tcPr>
    </w:tblStylePr>
    <w:tblStylePr w:type="band1Vert">
      <w:tblPr/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2"/>
      </w:tcPr>
    </w:tblStylePr>
  </w:style>
  <w:style w:type="table" w:styleId="51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3" w:themeFillTint="75"/>
      </w:tcPr>
    </w:tblStylePr>
    <w:tblStylePr w:type="band1Vert">
      <w:tblPr/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3"/>
      </w:tcPr>
    </w:tblStylePr>
  </w:style>
  <w:style w:type="table" w:styleId="51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4" w:themeFillTint="75"/>
      </w:tcPr>
    </w:tblStylePr>
    <w:tblStylePr w:type="band1Vert">
      <w:tblPr/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4"/>
      </w:tcPr>
    </w:tblStylePr>
  </w:style>
  <w:style w:type="table" w:styleId="52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5" w:themeFillTint="75"/>
      </w:tcPr>
    </w:tblStylePr>
    <w:tblStylePr w:type="band1Vert">
      <w:tblPr/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5"/>
      </w:tcPr>
    </w:tblStylePr>
  </w:style>
  <w:style w:type="table" w:styleId="52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FFFFFF" w:fill="FFFFFF" w:themeFill="accent6" w:themeFillTint="75"/>
      </w:tcPr>
    </w:tblStylePr>
    <w:tblStylePr w:type="band1Vert">
      <w:tblPr/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FFFF" w:themeFill="accent6"/>
      </w:tcPr>
    </w:tblStylePr>
  </w:style>
  <w:style w:type="table" w:styleId="52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FFFFFF" w:themeFill="text1" w:themeFillTint="34"/>
      </w:tcPr>
    </w:tblStylePr>
    <w:tblStylePr w:type="band1Vert">
      <w:tblPr/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52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E70A3" w:themeColor="accent1" w:themeTint="80" w:themeShade="95"/>
      </w:rPr>
      <w:tblPr/>
    </w:tblStylePr>
    <w:tblStylePr w:type="firstRow">
      <w:rPr>
        <w:b/>
        <w:color w:val="3E70A3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  <w:tblPr/>
    </w:tblStylePr>
    <w:tblStylePr w:type="lastRow">
      <w:rPr>
        <w:b/>
        <w:color w:val="3E70A3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52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52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5C702F" w:themeColor="accent3" w:themeTint="fe" w:themeShade="95"/>
      </w:rPr>
      <w:tblPr/>
    </w:tblStylePr>
    <w:tblStylePr w:type="firstRow">
      <w:rPr>
        <w:b/>
        <w:color w:val="5C702F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  <w:tblPr/>
    </w:tblStylePr>
    <w:tblStylePr w:type="lastRow">
      <w:rPr>
        <w:b/>
        <w:color w:val="5C702F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52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52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52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66777" w:themeColor="accent5" w:themeShade="95"/>
      </w:rPr>
      <w:tblPr/>
    </w:tblStylePr>
    <w:tblStylePr w:type="firstRow">
      <w:rPr>
        <w:b/>
        <w:color w:val="266777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tblPr/>
    </w:tblStylePr>
    <w:tblStylePr w:type="lastRow">
      <w:rPr>
        <w:b/>
        <w:color w:val="266777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52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d"/>
      </w:tcPr>
    </w:tblStylePr>
    <w:tblStylePr w:type="band1Vert">
      <w:tblPr/>
      <w:tcPr>
        <w:shd w:val="clear" w:color="FFFFFF" w:fill="FFFFFF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53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blPr/>
      <w:tcPr>
        <w:shd w:val="clear" w:color="FFFFFF" w:fill="FFFFFF" w:themeFill="accent1" w:themeFillTint="34"/>
      </w:tcPr>
    </w:tblStylePr>
    <w:tblStylePr w:type="band1Vert">
      <w:tblPr/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3E70A3"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3E70A3" w:themeColor="accent1" w:themeTint="80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53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32"/>
      </w:tcPr>
    </w:tblStylePr>
    <w:tblStylePr w:type="band1Vert">
      <w:tblPr/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53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blPr/>
      <w:tcPr>
        <w:shd w:val="clear" w:color="FFFFFF" w:fill="FFFFFF" w:themeFill="accent3" w:themeFillTint="34"/>
      </w:tcPr>
    </w:tblStylePr>
    <w:tblStylePr w:type="band1Vert">
      <w:tblPr/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5C702F"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5C702F" w:themeColor="accent3" w:themeTint="fe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53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34"/>
      </w:tcPr>
    </w:tblStylePr>
    <w:tblStylePr w:type="band1Vert">
      <w:tblPr/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53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blPr/>
      <w:tcPr>
        <w:shd w:val="clear" w:color="FFFFFF" w:fill="FFFFFF" w:themeFill="accent5" w:themeFillTint="34"/>
      </w:tcPr>
    </w:tblStylePr>
    <w:tblStylePr w:type="band1Vert">
      <w:tblPr/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  <w:tblPr/>
    </w:tblStylePr>
    <w:tblStylePr w:type="firstCol">
      <w:pPr>
        <w:jc w:val="right"/>
      </w:pPr>
      <w:rPr>
        <w:i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266777" w:themeColor="accent5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266777" w:themeColor="accent5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53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blPr/>
      <w:tcPr>
        <w:shd w:val="clear" w:color="FFFFFF" w:fill="FFFFFF" w:themeFill="accent6" w:themeFillTint="34"/>
      </w:tcPr>
    </w:tblStylePr>
    <w:tblStylePr w:type="band1Vert">
      <w:tblPr/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  <w:tblPr/>
    </w:tblStylePr>
    <w:tblStylePr w:type="firstCol">
      <w:pPr>
        <w:jc w:val="right"/>
      </w:pPr>
      <w:rPr>
        <w:i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B05307" w:themeColor="accent6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b/>
        <w:color w:val="B05307" w:themeColor="accent6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53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54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54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54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54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54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54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55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5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5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5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5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5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5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5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5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5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6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6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6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6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6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FFFFF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56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FFFFFF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56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FFFFF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56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FFFFFF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56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FFFF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56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FFFFFF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57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FFF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FFF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FFFF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57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57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A4B71" w:themeColor="accent1" w:themeShade="95"/>
      </w:rPr>
      <w:tblPr/>
    </w:tblStylePr>
    <w:tblStylePr w:type="firstRow">
      <w:rPr>
        <w:b/>
        <w:color w:val="2A4B71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tblPr/>
    </w:tblStylePr>
    <w:tblStylePr w:type="lastRow">
      <w:rPr>
        <w:b/>
        <w:color w:val="2A4B71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57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9C3A37" w:themeColor="accent2" w:themeTint="97" w:themeShade="95"/>
      </w:rPr>
      <w:tblPr/>
    </w:tblStylePr>
    <w:tblStylePr w:type="firstRow">
      <w:rPr>
        <w:b/>
        <w:color w:val="9C3A37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  <w:tblPr/>
    </w:tblStylePr>
    <w:tblStylePr w:type="lastRow">
      <w:rPr>
        <w:b/>
        <w:color w:val="9C3A37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57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C983F" w:themeColor="accent3" w:themeTint="98" w:themeShade="95"/>
      </w:rPr>
      <w:tblPr/>
    </w:tblStylePr>
    <w:tblStylePr w:type="firstRow">
      <w:rPr>
        <w:b/>
        <w:color w:val="7C983F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  <w:tblPr/>
    </w:tblStylePr>
    <w:tblStylePr w:type="lastRow">
      <w:rPr>
        <w:b/>
        <w:color w:val="7C983F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57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664F82" w:themeColor="accent4" w:themeTint="9a" w:themeShade="95"/>
      </w:rPr>
      <w:tblPr/>
    </w:tblStylePr>
    <w:tblStylePr w:type="firstRow">
      <w:rPr>
        <w:b/>
        <w:color w:val="664F82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  <w:tblPr/>
    </w:tblStylePr>
    <w:tblStylePr w:type="lastRow">
      <w:rPr>
        <w:b/>
        <w:color w:val="664F82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57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8AA0" w:themeColor="accent5" w:themeTint="9a" w:themeShade="95"/>
      </w:rPr>
      <w:tblPr/>
    </w:tblStylePr>
    <w:tblStylePr w:type="firstRow">
      <w:rPr>
        <w:b/>
        <w:color w:val="338AA0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  <w:tblPr/>
    </w:tblStylePr>
    <w:tblStylePr w:type="lastRow">
      <w:rPr>
        <w:b/>
        <w:color w:val="338AA0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57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D9680C" w:themeColor="accent6" w:themeTint="98" w:themeShade="95"/>
      </w:rPr>
      <w:tblPr/>
    </w:tblStylePr>
    <w:tblStylePr w:type="firstRow">
      <w:rPr>
        <w:b/>
        <w:color w:val="D9680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  <w:tblPr/>
    </w:tblStylePr>
    <w:tblStylePr w:type="lastRow">
      <w:rPr>
        <w:b/>
        <w:color w:val="D9680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57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FFFFF" w:themeFill="text1" w:themeFillTint="40"/>
      </w:tcPr>
    </w:tblStylePr>
    <w:tblStylePr w:type="band1Vert">
      <w:tblPr/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tex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57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blPr/>
      <w:tcPr>
        <w:shd w:val="clear" w:color="FFFFFF" w:fill="FFFFFF" w:themeFill="accent1" w:themeFillTint="40"/>
      </w:tcPr>
    </w:tblStylePr>
    <w:tblStylePr w:type="band1Vert">
      <w:tblPr/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  <w:tblPr/>
    </w:tblStylePr>
    <w:tblStylePr w:type="firstCol">
      <w:pPr>
        <w:jc w:val="right"/>
      </w:pPr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1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2A4B71" w:themeColor="accent1" w:themeShade="95"/>
        <w:sz w:val="22"/>
      </w:rPr>
      <w:tblPr/>
      <w:tcPr>
        <w:tcBorders>
          <w:left w:val="single" w:color="000000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2A4B71" w:themeColor="accent1" w:themeShade="95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2A4B71" w:themeColor="accent1" w:themeShade="95"/>
        <w:sz w:val="22"/>
      </w:rPr>
      <w:tblPr/>
    </w:tblStylePr>
  </w:style>
  <w:style w:type="table" w:styleId="58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blPr/>
      <w:tcPr>
        <w:shd w:val="clear" w:color="FFFFFF" w:fill="FFFFFF" w:themeFill="accent2" w:themeFillTint="40"/>
      </w:tcPr>
    </w:tblStylePr>
    <w:tblStylePr w:type="band1Vert">
      <w:tblPr/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2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9C3A37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9C3A37" w:themeColor="accent2" w:themeTint="97" w:themeShade="95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9C3A37" w:themeColor="accent2" w:themeTint="97" w:themeShade="95"/>
        <w:sz w:val="22"/>
      </w:rPr>
      <w:tblPr/>
    </w:tblStylePr>
  </w:style>
  <w:style w:type="table" w:styleId="58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blPr/>
      <w:tcPr>
        <w:shd w:val="clear" w:color="FFFFFF" w:fill="FFFFFF" w:themeFill="accent3" w:themeFillTint="40"/>
      </w:tcPr>
    </w:tblStylePr>
    <w:tblStylePr w:type="band1Vert">
      <w:tblPr/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3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7C983F"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7C983F" w:themeColor="accent3" w:themeTint="98" w:themeShade="95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7C983F" w:themeColor="accent3" w:themeTint="98" w:themeShade="95"/>
        <w:sz w:val="22"/>
      </w:rPr>
      <w:tblPr/>
    </w:tblStylePr>
  </w:style>
  <w:style w:type="table" w:styleId="58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blPr/>
      <w:tcPr>
        <w:shd w:val="clear" w:color="FFFFFF" w:fill="FFFFFF" w:themeFill="accent4" w:themeFillTint="40"/>
      </w:tcPr>
    </w:tblStylePr>
    <w:tblStylePr w:type="band1Vert">
      <w:tblPr/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4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664F82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664F82" w:themeColor="accent4" w:themeTint="9a" w:themeShade="95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664F82" w:themeColor="accent4" w:themeTint="9a" w:themeShade="95"/>
        <w:sz w:val="22"/>
      </w:rPr>
      <w:tblPr/>
    </w:tblStylePr>
  </w:style>
  <w:style w:type="table" w:styleId="58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blPr/>
      <w:tcPr>
        <w:shd w:val="clear" w:color="FFFFFF" w:fill="FFFFFF" w:themeFill="accent5" w:themeFillTint="40"/>
      </w:tcPr>
    </w:tblStylePr>
    <w:tblStylePr w:type="band1Vert">
      <w:tblPr/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5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338AA0"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338AA0" w:themeColor="accent5" w:themeTint="9a" w:themeShade="95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338AA0" w:themeColor="accent5" w:themeTint="9a" w:themeShade="95"/>
        <w:sz w:val="22"/>
      </w:rPr>
      <w:tblPr/>
    </w:tblStylePr>
  </w:style>
  <w:style w:type="table" w:styleId="58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blPr/>
      <w:tcPr>
        <w:shd w:val="clear" w:color="FFFFFF" w:fill="FFFFFF" w:themeFill="accent6" w:themeFillTint="40"/>
      </w:tcPr>
    </w:tblStylePr>
    <w:tblStylePr w:type="band1Vert">
      <w:tblPr/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000000" w:themeColor="accent6" w:sz="4" w:space="0"/>
          <w:bottom w:val="none" w:color="000000" w:sz="4" w:space="0"/>
        </w:tcBorders>
        <w:shd w:val="clear" w:color="FFFFFF" w:fill="FFFFFF"/>
      </w:tcPr>
    </w:tblStylePr>
    <w:tblStylePr w:type="fir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D9680C"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FFFFFF"/>
      </w:tcPr>
    </w:tblStylePr>
    <w:tblStylePr w:type="lastRow">
      <w:rPr>
        <w:i/>
        <w:color w:val="D9680C" w:themeColor="accent6" w:themeTint="98" w:themeShade="95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  <w:tblStylePr w:type="wholeTable">
      <w:rPr>
        <w:color w:val="D9680C" w:themeColor="accent6" w:themeTint="98" w:themeShade="95"/>
        <w:sz w:val="22"/>
      </w:rPr>
      <w:tblPr/>
    </w:tblStylePr>
  </w:style>
  <w:style w:type="table" w:styleId="58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58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58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58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58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59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59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59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FFFFFF" w:themeFill="text1" w:themeFillTint="80"/>
      </w:tcPr>
    </w:tblStylePr>
  </w:style>
  <w:style w:type="table" w:styleId="59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1" w:themeFillTint="ea"/>
      </w:tcPr>
    </w:tblStylePr>
  </w:style>
  <w:style w:type="table" w:styleId="59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FFFFF" w:themeFill="accent2" w:themeFillTint="97"/>
      </w:tcPr>
    </w:tblStylePr>
  </w:style>
  <w:style w:type="table" w:styleId="59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FFFFFF" w:themeFill="accent3" w:themeFillTint="fe"/>
      </w:tcPr>
    </w:tblStylePr>
  </w:style>
  <w:style w:type="table" w:styleId="59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FFFF" w:themeFill="accent4" w:themeFillTint="9a"/>
      </w:tcPr>
    </w:tblStylePr>
  </w:style>
  <w:style w:type="table" w:styleId="59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5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5"/>
      </w:tcPr>
    </w:tblStylePr>
    <w:tblStylePr w:type="lastCol">
      <w:rPr>
        <w:color w:val="F2F2F2"/>
        <w:sz w:val="22"/>
      </w:rPr>
      <w:tblPr/>
      <w:tcPr>
        <w:shd w:val="clear" w:color="FFFFFF" w:fill="FFFFFF" w:themeFill="accent5"/>
      </w:tcPr>
    </w:tblStylePr>
    <w:tblStylePr w:type="lastRow">
      <w:rPr>
        <w:color w:val="F2F2F2"/>
        <w:sz w:val="22"/>
      </w:rPr>
      <w:tblPr/>
      <w:tcPr>
        <w:shd w:val="clear" w:color="FFFFFF" w:fill="FFFFFF" w:themeFill="accent5"/>
      </w:tcPr>
    </w:tblStylePr>
  </w:style>
  <w:style w:type="table" w:styleId="59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FFFFFF" w:themeFill="accent6"/>
      </w:tcPr>
    </w:tblStylePr>
    <w:tblStylePr w:type="firstRow">
      <w:rPr>
        <w:color w:val="F2F2F2"/>
        <w:sz w:val="22"/>
      </w:rPr>
      <w:tblPr/>
      <w:tcPr>
        <w:shd w:val="clear" w:color="FFFFFF" w:fill="FFFFFF" w:themeFill="accent6"/>
      </w:tcPr>
    </w:tblStylePr>
    <w:tblStylePr w:type="lastCol">
      <w:rPr>
        <w:color w:val="F2F2F2"/>
        <w:sz w:val="22"/>
      </w:rPr>
      <w:tblPr/>
      <w:tcPr>
        <w:shd w:val="clear" w:color="FFFFFF" w:fill="FFFFFF" w:themeFill="accent6"/>
      </w:tcPr>
    </w:tblStylePr>
    <w:tblStylePr w:type="lastRow">
      <w:rPr>
        <w:color w:val="F2F2F2"/>
        <w:sz w:val="22"/>
      </w:rPr>
      <w:tblPr/>
      <w:tcPr>
        <w:shd w:val="clear" w:color="FFFFFF" w:fill="FFFFFF" w:themeFill="accent6"/>
      </w:tcPr>
    </w:tblStylePr>
  </w:style>
  <w:style w:type="table" w:styleId="59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60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60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60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60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60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60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775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ag.ryazangov.ru/announcements" TargetMode="External"/><Relationship Id="rId3" Type="http://schemas.openxmlformats.org/officeDocument/2006/relationships/hyperlink" Target="https://uag.ryazangov.ru/announcements" TargetMode="External"/><Relationship Id="rId4" Type="http://schemas.openxmlformats.org/officeDocument/2006/relationships/hyperlink" Target="https://uag.ryazangov.ru/announcements" TargetMode="External"/><Relationship Id="rId5" Type="http://schemas.openxmlformats.org/officeDocument/2006/relationships/hyperlink" Target="https://uag.ryazangov.ru/announcements" TargetMode="External"/><Relationship Id="rId6" Type="http://schemas.openxmlformats.org/officeDocument/2006/relationships/hyperlink" Target="https://uag.ryazangov.ru/announcements" TargetMode="External"/><Relationship Id="rId7" Type="http://schemas.openxmlformats.org/officeDocument/2006/relationships/hyperlink" Target="https://uag.ryazangov.ru/announcements" TargetMode="External"/><Relationship Id="rId8" Type="http://schemas.openxmlformats.org/officeDocument/2006/relationships/hyperlink" Target="https://uag.ryazangov.ru/announcements" TargetMode="External"/><Relationship Id="rId9" Type="http://schemas.openxmlformats.org/officeDocument/2006/relationships/hyperlink" Target="https://uag.ryazangov.ru/announcements" TargetMode="External"/><Relationship Id="rId10" Type="http://schemas.openxmlformats.org/officeDocument/2006/relationships/hyperlink" Target="https://uag.ryazangov.ru/announcements" TargetMode="External"/><Relationship Id="rId11" Type="http://schemas.openxmlformats.org/officeDocument/2006/relationships/hyperlink" Target="https://uag.ryazangov.ru/announcements" TargetMode="External"/><Relationship Id="rId12" Type="http://schemas.openxmlformats.org/officeDocument/2006/relationships/hyperlink" Target="https://uag.ryazangov.ru/announcements" TargetMode="External"/><Relationship Id="rId13" Type="http://schemas.openxmlformats.org/officeDocument/2006/relationships/hyperlink" Target="https://uag.ryazangov.ru/announcements" TargetMode="External"/><Relationship Id="rId14" Type="http://schemas.openxmlformats.org/officeDocument/2006/relationships/hyperlink" Target="https://uag.ryazangov.ru/announcements" TargetMode="External"/><Relationship Id="rId15" Type="http://schemas.openxmlformats.org/officeDocument/2006/relationships/hyperlink" Target="https://uag.ryazangov.ru/announcements" TargetMode="External"/><Relationship Id="rId16" Type="http://schemas.openxmlformats.org/officeDocument/2006/relationships/hyperlink" Target="https://uag.ryazangov.ru/announcements" TargetMode="External"/><Relationship Id="rId17" Type="http://schemas.openxmlformats.org/officeDocument/2006/relationships/hyperlink" Target="https://uag.ryazangov.ru/announcements" TargetMode="External"/><Relationship Id="rId18" Type="http://schemas.openxmlformats.org/officeDocument/2006/relationships/hyperlink" Target="https://uag.ryazangov.ru/announcements" TargetMode="External"/><Relationship Id="rId19" Type="http://schemas.openxmlformats.org/officeDocument/2006/relationships/hyperlink" Target="https://uag.ryazangov.ru/announcements" TargetMode="External"/><Relationship Id="rId20" Type="http://schemas.openxmlformats.org/officeDocument/2006/relationships/hyperlink" Target="https://uag.ryazangov.ru/announcements" TargetMode="External"/><Relationship Id="rId21" Type="http://schemas.openxmlformats.org/officeDocument/2006/relationships/hyperlink" Target="https://uag.ryazangov.ru/announcements" TargetMode="External"/><Relationship Id="rId22" Type="http://schemas.openxmlformats.org/officeDocument/2006/relationships/hyperlink" Target="https://uag.ryazangov.ru/announcements" TargetMode="External"/><Relationship Id="rId23" Type="http://schemas.openxmlformats.org/officeDocument/2006/relationships/hyperlink" Target="https://uag.ryazangov.ru/announcements" TargetMode="External"/><Relationship Id="rId24" Type="http://schemas.openxmlformats.org/officeDocument/2006/relationships/hyperlink" Target="https://uag.ryazangov.ru/announcements" TargetMode="External"/><Relationship Id="rId25" Type="http://schemas.openxmlformats.org/officeDocument/2006/relationships/hyperlink" Target="https://uag.ryazangov.ru/announcements" TargetMode="External"/><Relationship Id="rId26" Type="http://schemas.openxmlformats.org/officeDocument/2006/relationships/hyperlink" Target="https://uag.ryazangov.ru/announcements" TargetMode="External"/><Relationship Id="rId27" Type="http://schemas.openxmlformats.org/officeDocument/2006/relationships/hyperlink" Target="https://uag.ryazangov.ru/announcements" TargetMode="External"/><Relationship Id="rId28" Type="http://schemas.openxmlformats.org/officeDocument/2006/relationships/header" Target="header1.xml"/><Relationship Id="rId29" Type="http://schemas.openxmlformats.org/officeDocument/2006/relationships/header" Target="header2.xml"/><Relationship Id="rId30" Type="http://schemas.openxmlformats.org/officeDocument/2006/relationships/footnotes" Target="footnotes.xml"/><Relationship Id="rId31" Type="http://schemas.openxmlformats.org/officeDocument/2006/relationships/fontTable" Target="fontTable.xml"/><Relationship Id="rId32" Type="http://schemas.openxmlformats.org/officeDocument/2006/relationships/settings" Target="settings.xml"/><Relationship Id="rId3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LibreOffice/6.4.4.2$Linux_X86_64 LibreOffice_project/40$Build-2</Application>
  <Pages>2</Pages>
  <Words>863</Words>
  <Characters>6088</Characters>
  <CharactersWithSpaces>6954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2024-06-17T09:56:46Z</dcterms:modified>
  <cp:revision>164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