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19" w:rsidRDefault="001C2D2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819" w:rsidRDefault="001C2D2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97819" w:rsidRDefault="001C2D2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97819" w:rsidRDefault="0089781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97819" w:rsidRDefault="0089781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97819" w:rsidRDefault="001C2D2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97819" w:rsidRDefault="00897819">
      <w:pPr>
        <w:tabs>
          <w:tab w:val="left" w:pos="709"/>
        </w:tabs>
        <w:jc w:val="center"/>
        <w:rPr>
          <w:sz w:val="28"/>
        </w:rPr>
      </w:pPr>
    </w:p>
    <w:p w:rsidR="00897819" w:rsidRDefault="00897819">
      <w:pPr>
        <w:tabs>
          <w:tab w:val="left" w:pos="709"/>
        </w:tabs>
        <w:jc w:val="center"/>
        <w:rPr>
          <w:sz w:val="28"/>
        </w:rPr>
      </w:pPr>
      <w:bookmarkStart w:id="0" w:name="_GoBack"/>
      <w:bookmarkEnd w:id="0"/>
    </w:p>
    <w:p w:rsidR="00897819" w:rsidRDefault="007B105D">
      <w:pPr>
        <w:tabs>
          <w:tab w:val="left" w:pos="709"/>
        </w:tabs>
        <w:rPr>
          <w:sz w:val="28"/>
        </w:rPr>
      </w:pPr>
      <w:r>
        <w:rPr>
          <w:sz w:val="28"/>
        </w:rPr>
        <w:t>1</w:t>
      </w:r>
      <w:r w:rsidR="00276E17">
        <w:rPr>
          <w:sz w:val="28"/>
        </w:rPr>
        <w:t>3</w:t>
      </w:r>
      <w:r>
        <w:rPr>
          <w:sz w:val="28"/>
        </w:rPr>
        <w:t xml:space="preserve"> июня </w:t>
      </w:r>
      <w:r w:rsidR="001C2D29">
        <w:rPr>
          <w:sz w:val="28"/>
        </w:rPr>
        <w:t xml:space="preserve">2024 г.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1C2D29">
        <w:rPr>
          <w:sz w:val="28"/>
        </w:rPr>
        <w:t xml:space="preserve">  № </w:t>
      </w:r>
      <w:r>
        <w:rPr>
          <w:sz w:val="28"/>
        </w:rPr>
        <w:t>26</w:t>
      </w:r>
      <w:r w:rsidR="00276E17">
        <w:rPr>
          <w:sz w:val="28"/>
        </w:rPr>
        <w:t>9</w:t>
      </w:r>
      <w:r>
        <w:rPr>
          <w:sz w:val="28"/>
        </w:rPr>
        <w:t>-п</w:t>
      </w:r>
    </w:p>
    <w:p w:rsidR="00897819" w:rsidRDefault="00897819">
      <w:pPr>
        <w:tabs>
          <w:tab w:val="left" w:pos="709"/>
        </w:tabs>
        <w:jc w:val="both"/>
        <w:rPr>
          <w:sz w:val="28"/>
        </w:rPr>
      </w:pPr>
    </w:p>
    <w:p w:rsidR="00897819" w:rsidRDefault="00897819">
      <w:pPr>
        <w:tabs>
          <w:tab w:val="left" w:pos="709"/>
        </w:tabs>
        <w:jc w:val="both"/>
        <w:rPr>
          <w:sz w:val="28"/>
        </w:rPr>
      </w:pPr>
    </w:p>
    <w:p w:rsidR="00276E17" w:rsidRPr="00276E17" w:rsidRDefault="00276E17" w:rsidP="00276E17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 w:rsidRPr="00276E17">
        <w:rPr>
          <w:rFonts w:ascii="Times New Roman" w:hAnsi="Times New Roman"/>
          <w:sz w:val="28"/>
        </w:rPr>
        <w:t>О внесении изменений в постановление главного управления архитектуры</w:t>
      </w:r>
    </w:p>
    <w:p w:rsidR="00276E17" w:rsidRPr="00276E17" w:rsidRDefault="00276E17" w:rsidP="00276E17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 w:rsidRPr="00276E17">
        <w:rPr>
          <w:rFonts w:ascii="Times New Roman" w:hAnsi="Times New Roman"/>
          <w:sz w:val="28"/>
        </w:rPr>
        <w:t>и градостроительства Рязанской области от 03 апреля 2019 г. № 6-п</w:t>
      </w:r>
    </w:p>
    <w:p w:rsidR="00276E17" w:rsidRPr="00276E17" w:rsidRDefault="00276E17" w:rsidP="00276E17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 w:rsidRPr="00276E17">
        <w:rPr>
          <w:rFonts w:ascii="Times New Roman" w:hAnsi="Times New Roman"/>
          <w:sz w:val="28"/>
        </w:rPr>
        <w:t>«Об утверждении Положения о комиссии по территориальному планированию, землепользованию и застройке Рязанской области, Положения об организации</w:t>
      </w:r>
    </w:p>
    <w:p w:rsidR="00897819" w:rsidRDefault="00276E17" w:rsidP="00276E17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 w:rsidRPr="00276E17">
        <w:rPr>
          <w:rFonts w:ascii="Times New Roman" w:hAnsi="Times New Roman"/>
          <w:sz w:val="28"/>
        </w:rPr>
        <w:t>и проведении общественных обсуждений, публичных слушаний при осуществлении градостроительной деятельности»</w:t>
      </w:r>
    </w:p>
    <w:p w:rsidR="00276E17" w:rsidRDefault="00276E17" w:rsidP="00276E17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</w:p>
    <w:p w:rsidR="00276E17" w:rsidRDefault="00276E17" w:rsidP="00276E17">
      <w:pPr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Рязанской области                      от 6 августа 2008 г. № 153 «Об утверждении Положения о главном управлении архитектуры и градостроительства Рязанской области», приказом главного управления архитектуры и градостроительства Рязанской области от 21.05.2024 № 24-ок «О направлении работника в командировку», главное управление архитектуры и градостроительства Рязанской области ПОСТАНОВЛЯЕТ:</w:t>
      </w:r>
    </w:p>
    <w:p w:rsidR="00276E17" w:rsidRDefault="00276E17" w:rsidP="00276E17">
      <w:pPr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главного управления архитектуры и градостроительства Рязанской области от 3 апреля 2019 г. № 6-п «Об утверждении Положения о комиссии по территориальному планированию, землепользованию и 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 (в редакции постановлений Главархитектуры Рязанской области от 18.07.2019 № 64-п, от 04.10.2019 № 232-п, от 18.12.2019 № 465-п, от 10.01.2020 № 22-п, от 26.08.2020 № 560-п, от 15.09.2020 № 607-п, от 18.02.2021 № 76-п, от 17.03.2021 № 103-п, от 21.05.2021 № 212-п, от 13.04.2022 № 184-п, от 24.06.2022 № 349-п, от 08.08.2022 № 423-п, от 15.09.2022 № 510-п, от 19.10.2022 № 588-п, от 23.11.2022 № 713-п, от 21.12.2022 № 789-п, от 26.01.2023 № 39-п, от 01.06.2023 № 227-п, от 20.09.2023 № 430-п, от 20.12.2023 № 621-п, от 08.04.2024 № 122-п) следующие изменения:</w:t>
      </w:r>
    </w:p>
    <w:p w:rsidR="00276E17" w:rsidRDefault="00276E17" w:rsidP="00276E17">
      <w:pPr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 № 1:</w:t>
      </w:r>
    </w:p>
    <w:p w:rsidR="00276E17" w:rsidRDefault="00276E17" w:rsidP="00276E17">
      <w:pPr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пункт 1.4 изложить в следующей редакции:</w:t>
      </w:r>
    </w:p>
    <w:p w:rsidR="00276E17" w:rsidRDefault="00276E17" w:rsidP="00276E17">
      <w:pPr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D7F30">
        <w:rPr>
          <w:sz w:val="28"/>
          <w:szCs w:val="28"/>
        </w:rPr>
        <w:t>1.4. Техническое обеспечение деятельности Комиссии осуществляется государственным казенным учреждением Рязанской области «Центр градостроительного развития Рязанской области».</w:t>
      </w:r>
      <w:r>
        <w:rPr>
          <w:sz w:val="28"/>
          <w:szCs w:val="28"/>
        </w:rPr>
        <w:t>»;</w:t>
      </w:r>
    </w:p>
    <w:p w:rsidR="00276E17" w:rsidRDefault="00276E17" w:rsidP="00276E17">
      <w:pPr>
        <w:tabs>
          <w:tab w:val="left" w:pos="1260"/>
        </w:tabs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пункт 2.1.2 изложить в следующей редакции:</w:t>
      </w:r>
    </w:p>
    <w:p w:rsidR="00276E17" w:rsidRPr="00796DF0" w:rsidRDefault="00276E17" w:rsidP="00276E17">
      <w:pPr>
        <w:tabs>
          <w:tab w:val="left" w:pos="1260"/>
        </w:tabs>
        <w:spacing w:line="252" w:lineRule="auto"/>
        <w:ind w:firstLine="737"/>
        <w:jc w:val="both"/>
        <w:rPr>
          <w:color w:val="000000" w:themeColor="text1"/>
          <w:sz w:val="28"/>
          <w:szCs w:val="28"/>
        </w:rPr>
      </w:pPr>
      <w:r w:rsidRPr="00796DF0">
        <w:rPr>
          <w:color w:val="000000" w:themeColor="text1"/>
          <w:sz w:val="28"/>
          <w:szCs w:val="28"/>
        </w:rPr>
        <w:t>«2.1.2. Осуществляет рассмотрение предложений заинтересованных лиц о</w:t>
      </w:r>
      <w:r>
        <w:rPr>
          <w:color w:val="000000" w:themeColor="text1"/>
          <w:sz w:val="28"/>
          <w:szCs w:val="28"/>
        </w:rPr>
        <w:t> </w:t>
      </w:r>
      <w:r w:rsidRPr="00796DF0">
        <w:rPr>
          <w:color w:val="000000" w:themeColor="text1"/>
          <w:sz w:val="28"/>
          <w:szCs w:val="28"/>
        </w:rPr>
        <w:t>подготовке документов территориального планирования и градостроительного зонирования муниципальных образований Рязанской области, за исключением городского округа – город Рязань, а также о внесении изменений в такие документы»;</w:t>
      </w:r>
    </w:p>
    <w:p w:rsidR="00276E17" w:rsidRDefault="00276E17" w:rsidP="00276E17">
      <w:pPr>
        <w:tabs>
          <w:tab w:val="left" w:pos="1260"/>
        </w:tabs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пункт 2.1.5 признать утратившим силу;</w:t>
      </w:r>
    </w:p>
    <w:p w:rsidR="00276E17" w:rsidRDefault="00276E17" w:rsidP="00276E17">
      <w:pPr>
        <w:tabs>
          <w:tab w:val="left" w:pos="1260"/>
        </w:tabs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пункт 2.1.6 изложить в следующей редакции:</w:t>
      </w:r>
    </w:p>
    <w:p w:rsidR="00276E17" w:rsidRDefault="00276E17" w:rsidP="00276E17">
      <w:pPr>
        <w:tabs>
          <w:tab w:val="left" w:pos="1260"/>
        </w:tabs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664B6">
        <w:rPr>
          <w:sz w:val="28"/>
          <w:szCs w:val="28"/>
        </w:rPr>
        <w:t>2.1.6. Проводит общественные обсуждения и публичные слушания по</w:t>
      </w:r>
      <w:r>
        <w:rPr>
          <w:sz w:val="28"/>
          <w:szCs w:val="28"/>
        </w:rPr>
        <w:t> </w:t>
      </w:r>
      <w:r w:rsidRPr="00D664B6">
        <w:rPr>
          <w:sz w:val="28"/>
          <w:szCs w:val="28"/>
        </w:rPr>
        <w:t>проектам генеральных планов, проектам правил землепользования и застройки, проектам планировки территории, проектам межевания территории</w:t>
      </w:r>
      <w:r>
        <w:rPr>
          <w:sz w:val="28"/>
          <w:szCs w:val="28"/>
        </w:rPr>
        <w:t xml:space="preserve"> (за исключением случая, предусмотренного частью 2.1 статьи 11.10 Земельного кодекса Российской Федерации),</w:t>
      </w:r>
      <w:r w:rsidRPr="00D664B6">
        <w:rPr>
          <w:sz w:val="28"/>
          <w:szCs w:val="28"/>
        </w:rPr>
        <w:t xml:space="preserve"> проектам, предусматривающим внесение изменений в один из</w:t>
      </w:r>
      <w:r>
        <w:rPr>
          <w:sz w:val="28"/>
          <w:szCs w:val="28"/>
        </w:rPr>
        <w:t> </w:t>
      </w:r>
      <w:r w:rsidRPr="00D664B6">
        <w:rPr>
          <w:sz w:val="28"/>
          <w:szCs w:val="28"/>
        </w:rPr>
        <w:t>указанных утвержденных документов, в целях соблюдения права человека на</w:t>
      </w:r>
      <w:r>
        <w:rPr>
          <w:sz w:val="28"/>
          <w:szCs w:val="28"/>
        </w:rPr>
        <w:t> </w:t>
      </w:r>
      <w:r w:rsidRPr="00D664B6">
        <w:rPr>
          <w:sz w:val="28"/>
          <w:szCs w:val="28"/>
        </w:rPr>
        <w:t>благоприятные условия жизнедеятельности, прав и законных интересов правообладателей земельных участков и объек</w:t>
      </w:r>
      <w:r>
        <w:rPr>
          <w:sz w:val="28"/>
          <w:szCs w:val="28"/>
        </w:rPr>
        <w:t>тов капитального строительства.»;</w:t>
      </w:r>
    </w:p>
    <w:p w:rsidR="00276E17" w:rsidRDefault="00276E17" w:rsidP="00276E17">
      <w:pPr>
        <w:tabs>
          <w:tab w:val="left" w:pos="1260"/>
        </w:tabs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пункт 2.4.1 признать утратившим силу;</w:t>
      </w:r>
    </w:p>
    <w:p w:rsidR="00276E17" w:rsidRPr="003F0579" w:rsidRDefault="00276E17" w:rsidP="00276E17">
      <w:pPr>
        <w:tabs>
          <w:tab w:val="left" w:pos="1260"/>
        </w:tabs>
        <w:spacing w:line="252" w:lineRule="auto"/>
        <w:ind w:firstLine="737"/>
        <w:jc w:val="both"/>
        <w:rPr>
          <w:color w:val="000000" w:themeColor="text1"/>
          <w:sz w:val="28"/>
          <w:szCs w:val="28"/>
        </w:rPr>
      </w:pPr>
      <w:r w:rsidRPr="003F0579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в </w:t>
      </w:r>
      <w:r w:rsidRPr="003F0579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>е</w:t>
      </w:r>
      <w:r w:rsidRPr="003F0579">
        <w:rPr>
          <w:color w:val="000000" w:themeColor="text1"/>
          <w:sz w:val="28"/>
          <w:szCs w:val="28"/>
        </w:rPr>
        <w:t xml:space="preserve"> 3.1 после абзаца второго дополнить абзацем третьим следующего содержания:</w:t>
      </w:r>
    </w:p>
    <w:p w:rsidR="00276E17" w:rsidRPr="003F0579" w:rsidRDefault="00276E17" w:rsidP="00276E17">
      <w:pPr>
        <w:tabs>
          <w:tab w:val="left" w:pos="1260"/>
        </w:tabs>
        <w:spacing w:line="252" w:lineRule="auto"/>
        <w:ind w:firstLine="737"/>
        <w:jc w:val="both"/>
        <w:rPr>
          <w:color w:val="000000" w:themeColor="text1"/>
          <w:sz w:val="28"/>
          <w:szCs w:val="28"/>
        </w:rPr>
      </w:pPr>
      <w:r w:rsidRPr="003F0579">
        <w:rPr>
          <w:color w:val="000000" w:themeColor="text1"/>
          <w:sz w:val="28"/>
          <w:szCs w:val="28"/>
        </w:rPr>
        <w:t>«Председатель Комиссии, первый заместитель председателя Комиссии, заместитель председателя Комиссии, секретарь Комиссии, члены Комиссии основного состава принимают участие в голосовании по всем вопросам повестки дня.»;</w:t>
      </w:r>
    </w:p>
    <w:p w:rsidR="00276E17" w:rsidRPr="003F0579" w:rsidRDefault="00276E17" w:rsidP="00276E17">
      <w:pPr>
        <w:spacing w:line="252" w:lineRule="auto"/>
        <w:ind w:firstLine="737"/>
        <w:jc w:val="both"/>
        <w:rPr>
          <w:color w:val="000000" w:themeColor="text1"/>
          <w:sz w:val="28"/>
          <w:szCs w:val="28"/>
        </w:rPr>
      </w:pPr>
      <w:r w:rsidRPr="003F0579">
        <w:rPr>
          <w:color w:val="000000" w:themeColor="text1"/>
          <w:sz w:val="28"/>
          <w:szCs w:val="28"/>
        </w:rPr>
        <w:t>- в пункте 3.5 абзац первый изложить в следующей редакции:</w:t>
      </w:r>
    </w:p>
    <w:p w:rsidR="00276E17" w:rsidRPr="003F0579" w:rsidRDefault="00276E17" w:rsidP="00276E17">
      <w:pPr>
        <w:spacing w:line="252" w:lineRule="auto"/>
        <w:ind w:firstLine="737"/>
        <w:jc w:val="both"/>
        <w:rPr>
          <w:color w:val="000000" w:themeColor="text1"/>
          <w:sz w:val="28"/>
          <w:szCs w:val="28"/>
        </w:rPr>
      </w:pPr>
      <w:r w:rsidRPr="003F0579">
        <w:rPr>
          <w:color w:val="000000" w:themeColor="text1"/>
          <w:sz w:val="28"/>
          <w:szCs w:val="28"/>
        </w:rPr>
        <w:t>«3.5. Комиссия вправе принимать решения при наличии кворума, с</w:t>
      </w:r>
      <w:r>
        <w:rPr>
          <w:color w:val="000000" w:themeColor="text1"/>
          <w:sz w:val="28"/>
          <w:szCs w:val="28"/>
        </w:rPr>
        <w:t>оставляющего не менее двух трете</w:t>
      </w:r>
      <w:r w:rsidRPr="003F0579">
        <w:rPr>
          <w:color w:val="000000" w:themeColor="text1"/>
          <w:sz w:val="28"/>
          <w:szCs w:val="28"/>
        </w:rPr>
        <w:t>й от числа членов Комиссии без учета членов Комиссии переменного состава. При определении кворума учитываются отсутствующие члены Комиссии,</w:t>
      </w:r>
      <w:r>
        <w:rPr>
          <w:color w:val="000000" w:themeColor="text1"/>
          <w:sz w:val="28"/>
          <w:szCs w:val="28"/>
        </w:rPr>
        <w:t xml:space="preserve"> за исключением членов Комиссии переменного состава,</w:t>
      </w:r>
      <w:r w:rsidRPr="003F0579">
        <w:rPr>
          <w:color w:val="000000" w:themeColor="text1"/>
          <w:sz w:val="28"/>
          <w:szCs w:val="28"/>
        </w:rPr>
        <w:t xml:space="preserve"> представившие мнения по вопросам повестки дня в письменном виде, в том числе направившие их посредством электронных каналов связи.»;</w:t>
      </w:r>
    </w:p>
    <w:p w:rsidR="00276E17" w:rsidRDefault="00276E17" w:rsidP="00276E17">
      <w:pPr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пункт 3.8 изложить в следующей редакции:</w:t>
      </w:r>
    </w:p>
    <w:p w:rsidR="00276E17" w:rsidRDefault="00276E17" w:rsidP="00276E17">
      <w:pPr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4DC4">
        <w:rPr>
          <w:sz w:val="28"/>
          <w:szCs w:val="28"/>
        </w:rPr>
        <w:t>3.8. Протокол заседания Комиссии, а также выписки из протокола заседания Комиссии оформляются и подписываются председательствующим и секретарем в</w:t>
      </w:r>
      <w:r>
        <w:rPr>
          <w:sz w:val="28"/>
          <w:szCs w:val="28"/>
        </w:rPr>
        <w:t> </w:t>
      </w:r>
      <w:r w:rsidRPr="00D94DC4">
        <w:rPr>
          <w:sz w:val="28"/>
          <w:szCs w:val="28"/>
        </w:rPr>
        <w:t xml:space="preserve">течение десяти рабочих дней со дня заседания. </w:t>
      </w:r>
    </w:p>
    <w:p w:rsidR="00276E17" w:rsidRDefault="00276E17" w:rsidP="00276E17">
      <w:pPr>
        <w:spacing w:line="252" w:lineRule="auto"/>
        <w:ind w:firstLine="737"/>
        <w:jc w:val="both"/>
        <w:rPr>
          <w:sz w:val="28"/>
          <w:szCs w:val="28"/>
        </w:rPr>
      </w:pPr>
      <w:r w:rsidRPr="00D94DC4">
        <w:rPr>
          <w:sz w:val="28"/>
          <w:szCs w:val="28"/>
        </w:rPr>
        <w:t>Подписанные выписки подлежат направлению в государственное казенное учреждение Рязанской области «Центр градостроительного развития Рязанской области».</w:t>
      </w:r>
      <w:r>
        <w:rPr>
          <w:sz w:val="28"/>
          <w:szCs w:val="28"/>
        </w:rPr>
        <w:t>»;</w:t>
      </w:r>
    </w:p>
    <w:p w:rsidR="00276E17" w:rsidRDefault="00276E17" w:rsidP="00276E17">
      <w:pPr>
        <w:pStyle w:val="ConsPlusNormal1"/>
        <w:spacing w:line="252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приложении № 2:</w:t>
      </w:r>
    </w:p>
    <w:p w:rsidR="00276E17" w:rsidRDefault="00276E17" w:rsidP="00276E17">
      <w:pPr>
        <w:pStyle w:val="ConsPlusNormal1"/>
        <w:spacing w:line="252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включить в состав комиссии по территориальному планированию, землепользованию и застройке Рязанской области основного состава Кошелкина </w:t>
      </w:r>
      <w:r>
        <w:rPr>
          <w:rFonts w:ascii="Times New Roman" w:hAnsi="Times New Roman"/>
          <w:sz w:val="28"/>
          <w:szCs w:val="28"/>
        </w:rPr>
        <w:lastRenderedPageBreak/>
        <w:t>Евгения Викторовича – заместителя министра сельского хозяйства и продовольствия Рязанской области; Лазареву Марию Валерьевну – заместителя председателя комитета инвестиций и туризма Рязанской области;</w:t>
      </w:r>
    </w:p>
    <w:p w:rsidR="00276E17" w:rsidRDefault="00276E17" w:rsidP="00276E17">
      <w:pPr>
        <w:pStyle w:val="ConsPlusNormal1"/>
        <w:spacing w:line="252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включить в состав комиссии по территориальному планированию, землепользованию и застройке Рязанской области переменного состава Конакову Татьяну Владимировну – заместителя главы администрации муниципального образования – Сараевский муниципальный район Рязанской области по экономическому развитию, земельным и имущественным отношениям, сельскому хозяйству; Бакулину Анну Сергеевну – начальника сектора архитектуры и градостроительства администрации муниципального образования – Сараевский муниципальный район Рязанской области;</w:t>
      </w:r>
    </w:p>
    <w:p w:rsidR="00276E17" w:rsidRDefault="00276E17" w:rsidP="00276E17">
      <w:pPr>
        <w:pStyle w:val="ConsPlusNormal1"/>
        <w:spacing w:line="252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исключить из состава комиссии по территориальному планированию, землепользованию и застройке Рязанской области Горшкова А.П., Макарова Р.В., Журавлева О.С., Лебедева А.М.;</w:t>
      </w:r>
    </w:p>
    <w:p w:rsidR="00276E17" w:rsidRDefault="00276E17" w:rsidP="00276E17">
      <w:pPr>
        <w:pStyle w:val="ConsPlusNormal1"/>
        <w:spacing w:line="252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должности Сумина С.А. слова «и.о. главы администрации» заменить словами «глава администрации»;</w:t>
      </w:r>
    </w:p>
    <w:p w:rsidR="00276E17" w:rsidRPr="00A0171B" w:rsidRDefault="00276E17" w:rsidP="00276E17">
      <w:pPr>
        <w:pStyle w:val="ConsPlusNormal1"/>
        <w:spacing w:line="252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приложении № 3:</w:t>
      </w:r>
    </w:p>
    <w:p w:rsidR="00276E17" w:rsidRDefault="00276E17" w:rsidP="00276E17">
      <w:pPr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подпункт 2 пункта 4.8 изложить в следующей редакции:</w:t>
      </w:r>
    </w:p>
    <w:p w:rsidR="00276E17" w:rsidRPr="008B18D9" w:rsidRDefault="00276E17" w:rsidP="00276E17">
      <w:pPr>
        <w:spacing w:line="252" w:lineRule="auto"/>
        <w:ind w:firstLine="737"/>
        <w:jc w:val="both"/>
        <w:rPr>
          <w:sz w:val="28"/>
          <w:szCs w:val="28"/>
        </w:rPr>
      </w:pPr>
      <w:r w:rsidRPr="008B18D9">
        <w:rPr>
          <w:sz w:val="28"/>
          <w:szCs w:val="28"/>
        </w:rPr>
        <w:t>«2) распространяется на информационных стендах, оборудованных около или в зданиях организатора общественных обсуждений или публичных слушаний, органов местного самоуправления соответствующего муниципального образования Рязанской области, в местах массового скопления граждан,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или публичных слушаний к указанной информации.»;</w:t>
      </w:r>
    </w:p>
    <w:p w:rsidR="00276E17" w:rsidRDefault="00276E17" w:rsidP="00276E17">
      <w:pPr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- пункт 8.2 изложить в следующей редакции:</w:t>
      </w:r>
    </w:p>
    <w:p w:rsidR="00276E17" w:rsidRDefault="00276E17" w:rsidP="00276E17">
      <w:pPr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171B">
        <w:rPr>
          <w:sz w:val="28"/>
          <w:szCs w:val="28"/>
        </w:rPr>
        <w:t xml:space="preserve">8.2. Протокол общественных обсуждений или публичных слушаний содержит </w:t>
      </w:r>
      <w:hyperlink r:id="rId8" w:history="1">
        <w:r w:rsidRPr="00A0171B">
          <w:rPr>
            <w:rStyle w:val="a3"/>
            <w:color w:val="000000" w:themeColor="text1"/>
            <w:sz w:val="28"/>
            <w:szCs w:val="28"/>
          </w:rPr>
          <w:t>перечень</w:t>
        </w:r>
      </w:hyperlink>
      <w:r w:rsidRPr="00A0171B">
        <w:rPr>
          <w:sz w:val="28"/>
          <w:szCs w:val="28"/>
        </w:rPr>
        <w:t xml:space="preserve">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</w:t>
      </w:r>
      <w:r>
        <w:rPr>
          <w:sz w:val="28"/>
          <w:szCs w:val="28"/>
        </w:rPr>
        <w:t>–</w:t>
      </w:r>
      <w:r w:rsidRPr="00A0171B">
        <w:rPr>
          <w:sz w:val="28"/>
          <w:szCs w:val="28"/>
        </w:rPr>
        <w:t xml:space="preserve"> для</w:t>
      </w:r>
      <w:r>
        <w:rPr>
          <w:sz w:val="28"/>
          <w:szCs w:val="28"/>
        </w:rPr>
        <w:t> </w:t>
      </w:r>
      <w:r w:rsidRPr="00A0171B">
        <w:rPr>
          <w:sz w:val="28"/>
          <w:szCs w:val="28"/>
        </w:rPr>
        <w:t>физических лиц; наименование, основной государственный регистрационный номер, место нахождения и адрес - для юридических лиц).</w:t>
      </w:r>
      <w:r>
        <w:rPr>
          <w:sz w:val="28"/>
          <w:szCs w:val="28"/>
        </w:rPr>
        <w:t>»;</w:t>
      </w:r>
    </w:p>
    <w:p w:rsidR="00276E17" w:rsidRDefault="00276E17" w:rsidP="00276E17">
      <w:pPr>
        <w:pStyle w:val="ConsPlusNormal1"/>
        <w:spacing w:line="252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1 изложить в редакции согласно приложению 1 к настоящему постановлению;</w:t>
      </w:r>
    </w:p>
    <w:p w:rsidR="00276E17" w:rsidRDefault="00276E17" w:rsidP="00276E17">
      <w:pPr>
        <w:pStyle w:val="ConsPlusNormal1"/>
        <w:spacing w:line="252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2 изложить в редакции согласно приложению 2 к настоящему постановлению;</w:t>
      </w:r>
    </w:p>
    <w:p w:rsidR="00276E17" w:rsidRDefault="00276E17" w:rsidP="00276E17">
      <w:pPr>
        <w:pStyle w:val="ConsPlusNormal1"/>
        <w:spacing w:line="252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3 изложить в редакции согласно приложению 3 к настоящему постановлению;</w:t>
      </w:r>
    </w:p>
    <w:p w:rsidR="00276E17" w:rsidRDefault="00276E17" w:rsidP="00276E17">
      <w:pPr>
        <w:pStyle w:val="ConsPlusNormal1"/>
        <w:spacing w:line="252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4 изложить в редакции согласно приложению 4 к настоящему постановлению;</w:t>
      </w:r>
    </w:p>
    <w:p w:rsidR="00276E17" w:rsidRDefault="00276E17" w:rsidP="00276E17">
      <w:pPr>
        <w:pStyle w:val="ConsPlusNormal1"/>
        <w:spacing w:line="252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5 признать утратившим силу.</w:t>
      </w:r>
    </w:p>
    <w:p w:rsidR="00276E17" w:rsidRDefault="00276E17" w:rsidP="00276E17">
      <w:pPr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017B26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е норм, содержащихся в абзацах седьмом - десятом подпункта 1</w:t>
      </w:r>
      <w:r w:rsidRPr="00017B26">
        <w:rPr>
          <w:sz w:val="28"/>
          <w:szCs w:val="28"/>
        </w:rPr>
        <w:t xml:space="preserve"> пункта 1 настоящего постановления</w:t>
      </w:r>
      <w:r>
        <w:rPr>
          <w:sz w:val="28"/>
          <w:szCs w:val="28"/>
        </w:rPr>
        <w:t>, распространяется</w:t>
      </w:r>
      <w:r w:rsidRPr="00017B26">
        <w:rPr>
          <w:sz w:val="28"/>
          <w:szCs w:val="28"/>
        </w:rPr>
        <w:t xml:space="preserve"> на</w:t>
      </w:r>
      <w:r>
        <w:rPr>
          <w:sz w:val="28"/>
          <w:szCs w:val="28"/>
        </w:rPr>
        <w:t> </w:t>
      </w:r>
      <w:r w:rsidRPr="00017B26">
        <w:rPr>
          <w:sz w:val="28"/>
          <w:szCs w:val="28"/>
        </w:rPr>
        <w:t>отношения, возникшие с</w:t>
      </w:r>
      <w:r>
        <w:rPr>
          <w:sz w:val="28"/>
          <w:szCs w:val="28"/>
        </w:rPr>
        <w:t> </w:t>
      </w:r>
      <w:r w:rsidRPr="00017B26">
        <w:rPr>
          <w:sz w:val="28"/>
          <w:szCs w:val="28"/>
        </w:rPr>
        <w:t>13.04.2022.</w:t>
      </w:r>
    </w:p>
    <w:p w:rsidR="00276E17" w:rsidRDefault="00276E17" w:rsidP="00276E17">
      <w:pPr>
        <w:tabs>
          <w:tab w:val="left" w:pos="1134"/>
        </w:tabs>
        <w:spacing w:line="252" w:lineRule="auto"/>
        <w:ind w:firstLine="737"/>
        <w:jc w:val="both"/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Настоящее постановление вступает в силу на следующий день после</w:t>
      </w:r>
      <w:r>
        <w:rPr>
          <w:rFonts w:eastAsia="Calibri"/>
          <w:sz w:val="28"/>
          <w:szCs w:val="28"/>
        </w:rPr>
        <w:br/>
        <w:t>его официального опубликования</w:t>
      </w:r>
      <w:r w:rsidRPr="007B2B0C">
        <w:rPr>
          <w:rFonts w:eastAsia="Calibri"/>
          <w:sz w:val="28"/>
          <w:szCs w:val="28"/>
        </w:rPr>
        <w:t>.</w:t>
      </w:r>
    </w:p>
    <w:p w:rsidR="00276E17" w:rsidRPr="00B450D7" w:rsidRDefault="00276E17" w:rsidP="00276E17">
      <w:pPr>
        <w:tabs>
          <w:tab w:val="left" w:pos="709"/>
        </w:tabs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B450D7">
        <w:rPr>
          <w:rFonts w:eastAsia="Calibri"/>
          <w:sz w:val="28"/>
          <w:szCs w:val="28"/>
        </w:rPr>
        <w:t>. Отделу кадровой работы и делопроизводства обеспечить:</w:t>
      </w:r>
    </w:p>
    <w:p w:rsidR="00276E17" w:rsidRPr="00B450D7" w:rsidRDefault="00276E17" w:rsidP="00276E17">
      <w:pPr>
        <w:tabs>
          <w:tab w:val="left" w:pos="709"/>
        </w:tabs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B450D7">
        <w:rPr>
          <w:rFonts w:eastAsia="Calibri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76E17" w:rsidRPr="00B450D7" w:rsidRDefault="00276E17" w:rsidP="00276E17">
      <w:pPr>
        <w:tabs>
          <w:tab w:val="left" w:pos="709"/>
        </w:tabs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B450D7">
        <w:rPr>
          <w:rFonts w:eastAsia="Calibri"/>
          <w:sz w:val="28"/>
          <w:szCs w:val="28"/>
        </w:rPr>
        <w:t>2) опубликование настоящего п</w:t>
      </w:r>
      <w:r>
        <w:rPr>
          <w:rFonts w:eastAsia="Calibri"/>
          <w:sz w:val="28"/>
          <w:szCs w:val="28"/>
        </w:rPr>
        <w:t>остановления в сетевом издании «Рязанские ведомости»</w:t>
      </w:r>
      <w:r w:rsidRPr="00B450D7">
        <w:rPr>
          <w:rFonts w:eastAsia="Calibri"/>
          <w:sz w:val="28"/>
          <w:szCs w:val="28"/>
        </w:rPr>
        <w:t xml:space="preserve"> (www.rv-ryazan.ru) и на официальном интернет-портале правовой информации (www.pravo.gov.ru).</w:t>
      </w:r>
    </w:p>
    <w:p w:rsidR="00276E17" w:rsidRPr="00B450D7" w:rsidRDefault="00276E17" w:rsidP="00276E17">
      <w:pPr>
        <w:tabs>
          <w:tab w:val="left" w:pos="709"/>
        </w:tabs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B450D7">
        <w:rPr>
          <w:rFonts w:eastAsia="Calibri"/>
          <w:sz w:val="28"/>
          <w:szCs w:val="28"/>
        </w:rPr>
        <w:t>. Контроль за исполнением настоящего постановления возложить на</w:t>
      </w:r>
      <w:r>
        <w:rPr>
          <w:rFonts w:eastAsia="Calibri"/>
          <w:sz w:val="28"/>
          <w:szCs w:val="28"/>
        </w:rPr>
        <w:t> </w:t>
      </w:r>
      <w:r w:rsidRPr="00B450D7">
        <w:rPr>
          <w:rFonts w:eastAsia="Calibri"/>
          <w:sz w:val="28"/>
          <w:szCs w:val="28"/>
        </w:rPr>
        <w:t>заместителя начальника главного управления архитектуры и градостроительства Рязанской области Т.С.</w:t>
      </w:r>
      <w:r>
        <w:rPr>
          <w:rFonts w:eastAsia="Calibri"/>
          <w:sz w:val="28"/>
          <w:szCs w:val="28"/>
        </w:rPr>
        <w:t xml:space="preserve"> </w:t>
      </w:r>
      <w:r w:rsidRPr="00B450D7">
        <w:rPr>
          <w:rFonts w:eastAsia="Calibri"/>
          <w:sz w:val="28"/>
          <w:szCs w:val="28"/>
        </w:rPr>
        <w:t>Попкову.</w:t>
      </w:r>
    </w:p>
    <w:p w:rsidR="00276E17" w:rsidRDefault="00276E17" w:rsidP="00276E17">
      <w:pPr>
        <w:tabs>
          <w:tab w:val="left" w:pos="709"/>
        </w:tabs>
        <w:jc w:val="both"/>
        <w:rPr>
          <w:sz w:val="28"/>
          <w:szCs w:val="28"/>
        </w:rPr>
      </w:pPr>
    </w:p>
    <w:p w:rsidR="00276E17" w:rsidRDefault="00276E17" w:rsidP="00276E17">
      <w:pPr>
        <w:tabs>
          <w:tab w:val="left" w:pos="709"/>
        </w:tabs>
        <w:jc w:val="both"/>
        <w:rPr>
          <w:sz w:val="28"/>
          <w:szCs w:val="28"/>
        </w:rPr>
      </w:pPr>
    </w:p>
    <w:p w:rsidR="00897819" w:rsidRDefault="00897819">
      <w:pPr>
        <w:tabs>
          <w:tab w:val="left" w:pos="709"/>
        </w:tabs>
        <w:jc w:val="both"/>
        <w:rPr>
          <w:sz w:val="28"/>
          <w:highlight w:val="black"/>
        </w:rPr>
      </w:pPr>
    </w:p>
    <w:p w:rsidR="00897819" w:rsidRDefault="00276E17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И.о. н</w:t>
      </w:r>
      <w:r w:rsidR="001C2D29">
        <w:rPr>
          <w:color w:val="auto"/>
          <w:sz w:val="28"/>
        </w:rPr>
        <w:t>ачальник</w:t>
      </w:r>
      <w:r>
        <w:rPr>
          <w:color w:val="auto"/>
          <w:sz w:val="28"/>
        </w:rPr>
        <w:t>а</w:t>
      </w:r>
      <w:r w:rsidR="001C2D29">
        <w:rPr>
          <w:color w:val="auto"/>
          <w:sz w:val="28"/>
        </w:rPr>
        <w:t xml:space="preserve">                                                        </w:t>
      </w:r>
      <w:r>
        <w:rPr>
          <w:color w:val="auto"/>
          <w:sz w:val="28"/>
        </w:rPr>
        <w:t xml:space="preserve">                               О</w:t>
      </w:r>
      <w:r w:rsidR="001C2D29">
        <w:rPr>
          <w:color w:val="auto"/>
          <w:sz w:val="28"/>
        </w:rPr>
        <w:t>.</w:t>
      </w:r>
      <w:r>
        <w:rPr>
          <w:color w:val="auto"/>
          <w:sz w:val="28"/>
        </w:rPr>
        <w:t>М</w:t>
      </w:r>
      <w:r w:rsidR="001C2D29">
        <w:rPr>
          <w:color w:val="auto"/>
          <w:sz w:val="28"/>
        </w:rPr>
        <w:t xml:space="preserve">. </w:t>
      </w:r>
      <w:r>
        <w:rPr>
          <w:color w:val="auto"/>
          <w:sz w:val="28"/>
        </w:rPr>
        <w:t>Алямовская</w:t>
      </w:r>
    </w:p>
    <w:sectPr w:rsidR="00897819" w:rsidSect="00276E17">
      <w:headerReference w:type="default" r:id="rId9"/>
      <w:pgSz w:w="11906" w:h="16838"/>
      <w:pgMar w:top="964" w:right="567" w:bottom="851" w:left="1134" w:header="426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F0" w:rsidRDefault="00080DF0">
      <w:pPr>
        <w:pStyle w:val="30"/>
      </w:pPr>
      <w:r>
        <w:separator/>
      </w:r>
    </w:p>
  </w:endnote>
  <w:endnote w:type="continuationSeparator" w:id="0">
    <w:p w:rsidR="00080DF0" w:rsidRDefault="00080DF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F0" w:rsidRDefault="00080DF0">
      <w:pPr>
        <w:pStyle w:val="30"/>
      </w:pPr>
      <w:r>
        <w:separator/>
      </w:r>
    </w:p>
  </w:footnote>
  <w:footnote w:type="continuationSeparator" w:id="0">
    <w:p w:rsidR="00080DF0" w:rsidRDefault="00080DF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19" w:rsidRDefault="001C2D29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276E17" w:rsidRPr="00276E17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897819" w:rsidRPr="00276E17" w:rsidRDefault="00897819">
    <w:pPr>
      <w:pStyle w:val="af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61C"/>
    <w:multiLevelType w:val="hybridMultilevel"/>
    <w:tmpl w:val="E7D22908"/>
    <w:lvl w:ilvl="0" w:tplc="7AD49B2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C048E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0601E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77884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956FB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EF68C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39658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032CE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108FF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C1D5364"/>
    <w:multiLevelType w:val="multilevel"/>
    <w:tmpl w:val="9D1261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E50424C"/>
    <w:multiLevelType w:val="multilevel"/>
    <w:tmpl w:val="8F8C4F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AE57F11"/>
    <w:multiLevelType w:val="multilevel"/>
    <w:tmpl w:val="A9525F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D296D94"/>
    <w:multiLevelType w:val="multilevel"/>
    <w:tmpl w:val="39A859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245D3E16"/>
    <w:multiLevelType w:val="multilevel"/>
    <w:tmpl w:val="589844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248D6A39"/>
    <w:multiLevelType w:val="multilevel"/>
    <w:tmpl w:val="12CC9E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34EA354D"/>
    <w:multiLevelType w:val="hybridMultilevel"/>
    <w:tmpl w:val="0CD491E4"/>
    <w:lvl w:ilvl="0" w:tplc="6AF23DC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F1223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62E2F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ACA77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A34C0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36CD5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4983A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00400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360D9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37296536"/>
    <w:multiLevelType w:val="multilevel"/>
    <w:tmpl w:val="3EF6B6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3AE5177B"/>
    <w:multiLevelType w:val="hybridMultilevel"/>
    <w:tmpl w:val="243C5494"/>
    <w:lvl w:ilvl="0" w:tplc="150E07A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8E5D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2AE7A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2221D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75E6B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64450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18EBD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A6CA0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BD600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486C2CA6"/>
    <w:multiLevelType w:val="multilevel"/>
    <w:tmpl w:val="3BA8F9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6EFE6269"/>
    <w:multiLevelType w:val="multilevel"/>
    <w:tmpl w:val="98E059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6F0A1860"/>
    <w:multiLevelType w:val="multilevel"/>
    <w:tmpl w:val="98F8FD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72962A30"/>
    <w:multiLevelType w:val="multilevel"/>
    <w:tmpl w:val="5EC06E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7311232C"/>
    <w:multiLevelType w:val="multilevel"/>
    <w:tmpl w:val="AD10C9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76C37A4C"/>
    <w:multiLevelType w:val="multilevel"/>
    <w:tmpl w:val="A17EC7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7F1A6530"/>
    <w:multiLevelType w:val="multilevel"/>
    <w:tmpl w:val="CBA032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16"/>
  </w:num>
  <w:num w:numId="10">
    <w:abstractNumId w:val="1"/>
  </w:num>
  <w:num w:numId="11">
    <w:abstractNumId w:val="9"/>
  </w:num>
  <w:num w:numId="12">
    <w:abstractNumId w:val="14"/>
  </w:num>
  <w:num w:numId="13">
    <w:abstractNumId w:val="7"/>
  </w:num>
  <w:num w:numId="14">
    <w:abstractNumId w:val="0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19"/>
    <w:rsid w:val="00080DF0"/>
    <w:rsid w:val="001C2D29"/>
    <w:rsid w:val="00276E17"/>
    <w:rsid w:val="007B105D"/>
    <w:rsid w:val="0089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C0C3A"/>
  <w15:docId w15:val="{6D90EABA-2CED-4DE2-973B-76336898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c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A46800E26010C1114F202F5F2A8DA81D440720D3C07ADD65F829C238D03220F51E9BAB962F6F2EA21EEFC44343E7F1BA61058BDE3D6F5459E542E3E1z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267</cp:revision>
  <cp:lastPrinted>2024-06-13T07:16:00Z</cp:lastPrinted>
  <dcterms:created xsi:type="dcterms:W3CDTF">2024-02-19T07:12:00Z</dcterms:created>
  <dcterms:modified xsi:type="dcterms:W3CDTF">2024-06-13T07:19:00Z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