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17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.07.2024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 № 203-д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правил землепользования</w:t>
        <w:br/>
        <w:t xml:space="preserve">и застройки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Глядковского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Глядковского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«ГКУ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17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.07.2024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203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«22» июля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Нащи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ул. Есенина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дом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9Б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«29» июля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с.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Огарево-Почково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транспорта, ул. Беглова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около дома 21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Истлеево (остановка общественного транспорта, ул. Центральная около дома 63)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«22» июля 2024 г. по 13.00 час. «29» июля 2024 г.);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Мыс Доброй Надежды (остановка общественного транспорта, ул. Ленина около дома 58) (с «22» июля 2024 г. по 13.20 час. «29» июля 2024 г.);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Устье (остановка общественного транспорта, ул. Типанова около дома 97) (с «22» июля 2024 г. по 13.40 час. «29» июля 2024 г.);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п. Молодежный, ул. Новослободская (ориентир дом 1) (с «22» июля 2024 г. по 14.05 час. «29» июля 2024 г.);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Темгенево, ул. 1 Мая д. 9Б (здание администрации) (с «22» июля 2024 г. по 14.30 час. «29» июля 2024 г.);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Глядково, ул. Микрорайон (ориентир дом 2) (с «22» июля 2024 г. по 14.45 час. «29» июля 2024 г.);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Безводные Прудищи (при въезде</w:t>
        <w:br/>
        <w:t xml:space="preserve">в населенный пункт) (с «22» июля 2024 г. по 15.15 час. «29» июля 2024 г.);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п. Огаревские Выселки (при въезде</w:t>
        <w:br/>
        <w:t xml:space="preserve">в населенный пункт) (с «22» июля 2024 г. по 15.55 час. «29» июля 2024 г.).</w:t>
      </w:r>
      <w:r>
        <w:rPr>
          <w:b w:val="false"/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29.07.2024: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12.10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12.20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с. Нащи, ул. Есенина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дом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9Б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12.35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12.45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Огарево-Почково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транспорта, ул. Беглова около дома 21);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12.50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13.00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 с. Истлеево (остановка общественного транспорта, ул. Центральная около дома 63);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13.10 час. по 13.20 час. по адресу: 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 с. Мыс Доброй Надежды (остановка общественного транспорта, ул. Ленина около дома 58);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13.30 час. по 13.40 час. по адресу: 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 с. Устье, (остановка общественного транспорта, ул. Типанова около дома 97);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13.55 час. по 14.05 час. по адресу: 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п. Молодежный, ул. Новослободская (ориентир дом 1);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14.10 час. по 14.30 час. по адресу: 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с. Темгенево, ул. 1 Мая, д. 9Б (здание администрации);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14.35 час. по 14.45 час. по адресу: 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с. Глядково, ул. Микрорайон (ориентир дом 2);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15.05 час. по 15.15 час. по адресу: 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с. Безводные Прудищи (при въезде в населенный пункт);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15.45 час. по 15.55 час. по адресу: 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п. Огаревские Выселки (при въезде в населенный пункт).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</w:t>
        <w:br/>
        <w:t xml:space="preserve">по «29» июля 2024 г., с 9.00 час. по 17.00 час.);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</w:t>
        <w:br/>
        <w:t xml:space="preserve">по «29» июля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 по время окончания консультирования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76</cp:revision>
  <dcterms:created xsi:type="dcterms:W3CDTF">2024-05-31T06:53:00Z</dcterms:created>
  <dcterms:modified xsi:type="dcterms:W3CDTF">2024-07-19T07:25:20Z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