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05.07.2024 № 187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правил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Заокское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>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Заокское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05.07.2024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«10»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«26»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ул. Центральная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около дома 23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«10» июля 2024 г. по 12.05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«26»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с. Заокское, ул. Советская, д. 136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«10» июля 2024 г. по «25» июля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09.00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26.07.2024: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11.35 час. по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ул. Центральная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около дома 23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12.15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с. Заокское, ул. Советская, д. 136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с. Заокское, ул. Советская,</w:t>
        <w:br/>
        <w:t>д. 136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«10» июля 2024 г. по «25»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09.00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ул. Центральная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около дома 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) —  с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«10» июля 2024 г.</w:t>
        <w:br/>
        <w:t>по 12.05 час. «26» июля 2024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LibreOffice/6.4.4.2$Linux_X86_64 LibreOffice_project/40$Build-2</Application>
  <Pages>2</Pages>
  <Words>689</Words>
  <Characters>4687</Characters>
  <CharactersWithSpaces>5350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2024-07-09T11:39:50Z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