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160"/>
        <w:ind w:left="6236" w:right="0" w:hanging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Утверждены постановлением</w:t>
      </w:r>
    </w:p>
    <w:p>
      <w:pPr>
        <w:pStyle w:val="Normal"/>
        <w:widowControl/>
        <w:bidi w:val="0"/>
        <w:spacing w:lineRule="auto" w:line="240" w:before="0" w:after="160"/>
        <w:ind w:left="6236" w:righ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главного управления архитектуры</w:t>
      </w:r>
    </w:p>
    <w:p>
      <w:pPr>
        <w:pStyle w:val="Normal"/>
        <w:widowControl/>
        <w:bidi w:val="0"/>
        <w:spacing w:lineRule="auto" w:line="240" w:before="0" w:after="160"/>
        <w:ind w:left="6236" w:righ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градостроительства Рязанской области 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6236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23.07.2024 № 351-п</w:t>
      </w:r>
    </w:p>
    <w:p>
      <w:pPr>
        <w:pStyle w:val="Normal"/>
        <w:widowControl/>
        <w:bidi w:val="0"/>
        <w:spacing w:lineRule="auto" w:line="240" w:before="0" w:after="160"/>
        <w:ind w:left="6293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160"/>
        <w:ind w:left="6293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A"/>
        <w:shd w:val="clear" w:color="auto" w:fill="FFFFFF"/>
        <w:spacing w:beforeAutospacing="0" w:before="0" w:afterAutospacing="0" w:after="0"/>
        <w:ind w:left="142" w:firstLine="992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Изменения в региональные нормативы градостроительного</w:t>
      </w:r>
    </w:p>
    <w:p>
      <w:pPr>
        <w:pStyle w:val="A"/>
        <w:shd w:val="clear" w:color="auto" w:fill="FFFFFF"/>
        <w:spacing w:beforeAutospacing="0" w:before="0" w:afterAutospacing="0" w:after="0"/>
        <w:ind w:left="142" w:firstLine="992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проектирования Рязанской области, утвержденные</w:t>
      </w:r>
    </w:p>
    <w:p>
      <w:pPr>
        <w:pStyle w:val="A"/>
        <w:shd w:val="clear" w:color="auto" w:fill="FFFFFF"/>
        <w:spacing w:beforeAutospacing="0" w:before="0" w:afterAutospacing="0" w:after="0"/>
        <w:ind w:left="142" w:firstLine="992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постановлением Главархитектуры Рязанской области</w:t>
      </w:r>
    </w:p>
    <w:p>
      <w:pPr>
        <w:pStyle w:val="A"/>
        <w:shd w:val="clear" w:color="auto" w:fill="FFFFFF"/>
        <w:spacing w:beforeAutospacing="0" w:before="0" w:afterAutospacing="0" w:after="0"/>
        <w:ind w:left="142" w:firstLine="9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 февраля 2024 г. № 69-п</w:t>
      </w:r>
    </w:p>
    <w:p>
      <w:pPr>
        <w:pStyle w:val="A"/>
        <w:shd w:val="clear" w:color="auto" w:fill="FFFFFF"/>
        <w:spacing w:beforeAutospacing="0" w:before="0" w:afterAutospacing="0" w:after="0"/>
        <w:ind w:left="142" w:firstLine="99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1.5.2:</w:t>
      </w:r>
    </w:p>
    <w:p>
      <w:pPr>
        <w:pStyle w:val="ListParagraph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подпункте «в» после слов «в подземных паркингах,» дополнить словами «встроенных или встроенно-пристроенных к зданиям стоянках,»;</w:t>
      </w:r>
    </w:p>
    <w:p>
      <w:pPr>
        <w:pStyle w:val="ListParagraph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абзаце 6 после слов «образовательных организаций и здравоохранения» дополнить словами «, и (или)».</w:t>
      </w:r>
    </w:p>
    <w:p>
      <w:pPr>
        <w:pStyle w:val="ListParagraph"/>
        <w:numPr>
          <w:ilvl w:val="0"/>
          <w:numId w:val="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таблице 2.4 «Объекты регионального значения в области здравоохранения» слова «Лечебно-профилактические медицинские организации медицинскую помощь в стационарных условиях» заменить словами «Лечебно-профилактические медицинские организации, оказывающие медицинскую помощь в стационарных условиях».</w:t>
      </w:r>
    </w:p>
    <w:p>
      <w:pPr>
        <w:pStyle w:val="ListParagraph"/>
        <w:numPr>
          <w:ilvl w:val="0"/>
          <w:numId w:val="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Таблицу 3.1 «Объекты местного значения в области автомобильного транспорта» изложить в следующей редакции: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«Таблица 3.1</w:t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Объекты местного значения в области автомобильного транспорта</w:t>
      </w:r>
    </w:p>
    <w:tbl>
      <w:tblPr>
        <w:tblW w:w="10490" w:type="dxa"/>
        <w:jc w:val="left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556"/>
        <w:gridCol w:w="1693"/>
        <w:gridCol w:w="1854"/>
        <w:gridCol w:w="1837"/>
        <w:gridCol w:w="1565"/>
        <w:gridCol w:w="1561"/>
        <w:gridCol w:w="423"/>
      </w:tblGrid>
      <w:tr>
        <w:trPr/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Наименование вида объекта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Тип расчетного показателя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Наименование расчетного показателя, единица измерения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Предельные значения расчетного показателя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Автомобильные дороги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Автомобильные дороги общего пользования местного значения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Плотность сети автомобильных дорог местного значения, км/тыс. кв. км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Городской округ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Муниципальный район, муниципальный округ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Доля автодорог с твердым покрытием всех видов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Городской округ и городское поселение,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Сельское поселение,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нормируется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Улично-дорожная сеть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Улицы, автомобильные дороги [1]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Плотность улично-дорожной сети (кроме районов индивидуальной жилой застройки), км/кв. км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Городские населенные пункты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Сельские населенные пункты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нормируется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Плотность улично-дорожной сети в районах индивидуальной жилой застройки, км/кв. км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Крупный городской населенный пункт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Малые городские населенные пункты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1,25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Сельские населенные пункты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нормируется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нормируется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Примечания: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Расчетные параметры улично-дорожной сети принимаются: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для крупного городского населенного пункта по таблице 11.2 СП 42.13330;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для малых городских населенных пунктов по таблице 11.2а СП 42.13330;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для сельских населенных пунктов по таблице 11.4 СП 42.13330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Места постоянного хранения личного автотранспорта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Гаражи, стоянки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машино-мест для хранения автотранспорта для многоквартирной застройки, 1 машино-место на кв. м. общей площади квартир в границах земельного(ых) участка (ов) многоквартирного жилого дома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Пешеходная доступность мест для постоянного хранения автотранспорта до жилого дома, м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Примечания: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 Общая площадь квартир принимается за исключением лоджий, веранд, холодных кладовых и тамбуров, балконов, террас.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 При выполнении условия в подпункте «в» пункта 1.5.2 количество машино-мест для хранения автотранспорта может быть уменьшено, но не более чем на 30%.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 При реализации комплексного развития территории, часть машино-мест допускается размещать вне границ земельного(ых) участка(ов)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Временные и гостевые стоянки (парковки)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Парковочные места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парковочных единиц личного транспорта на гостевых парковках, машино-мест на 1000 жителей [1]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зон, 1 машино-место на соответствующее количество расчетных единиц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Здания и сооружения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расчетных единиц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Банки и банковские учреждения, кредитно-финансовые учреждения с операционным залом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Общественные помещения с гибким функциональным назначением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 кв. м расчетной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 преподавателей и сотрудников организации, занятых в одну смену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студентов очной формы обучения, занимающихся в одну смену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 преподавателя, занятых в одну смену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Научно-исследовательские и проектные институты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 работающих в смежных сменах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машино-мест на 100 работающих в двух смежных сменах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 кв. м расчетной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 кв. м расчетной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 кв. м расчетной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Рынки универсальные и непродовольственные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Рынки продовольственные и сельскохозяйственные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 посадочных мест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Бани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Салоны ритуальных услуг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 кв. м общей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 рабочих мест приемщиков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Выставочно-музейные комплексы, музеи, заповедники, музеи, галереи, выставочные залы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 постоянных мест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Объекты религиозных конфессий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единовременных посетителей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(не менее 10 машино-мест на объект)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Бильярдные, боулинги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Спортивные комплексы и стадионы с трибунами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 мест на трибунах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Оздоровительные комплексы (фитнес-клубы, физкультурно-оздоровительный комплекс, спортивные и тренажерные залы) общей площадью менее 1000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 кв. м расчетной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 же, общей площадью 1000 кв. м и более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55 кв. м расчетной площади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Тренажерные залы площадью 150-500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Физкультурно-оздоровительный комплекс с залом площадью 1000 - 2000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Физкультурно-оздоровительный комплекс с залом и бассейном общей площадью 2000 - 3000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Аквапарки, бассейны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Катки с искусственным покрытием общей площадью более 3000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Железнодорожные вокзалы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пассажиров дальнего следования в час пик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Автовокзалы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 пассажиров в час пик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Аэровокзалы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 пассажиров в час пик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машино-мест для парковки легковых автомобилей, размещаемых у границ лесопарков, зон отдыха и курортных зон, количество машино-мест на 100 расчетных единиц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Рекреационные территории, объекты отдыха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машино-мест на 100 расчетных единиц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Пляжи и парки в зонах отдыха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 машино-мест на 100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Лесопарки и заповедники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машино-мест на 100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машино-мест на 100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Береговые базы маломерного флота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 машино-мест на 100 единовременных посетителей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 машино-места на 100 отдыхающих и обслуживающего персонала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Предприятия общественного питания, торговли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машино-мест на 100 мест в залах или единовременных посетителей и персонала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Пешеходная доступность, 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Для парковок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зонах жилой застройки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 пассажирских помещений вокзалов, входов в места крупных учреждений торговли и общественного питания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 прочих учреждений и предприятий обслуживания населения и административных зданий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 входов в парки, на выставки и стадионы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зонах массового отдыха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80" w:hRule="atLeast"/>
        </w:trPr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Примечания: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Гостевые парковки не идут в учет мест хранения.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Расчетные показатели минимально допустимого уровня обеспеченности машино-местами для хранения и паркования легковых автомобилей для целей, не указанных в таблице, следует принимать в соответствии с требованиями приложения Ж СП 42.13330.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Количество машино-мест стоянок туристических автобусов и парковок для легковых автомобилей, принадлежащих туристам,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населения. Указанные стоянки должны быть размещены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 Вместимость стоянок для парковки туристических автобусов у аэропортов и железнодорожных вокзалов следует принимать по норме 3-4 машино-места на 100 пассажиров (туристов), прибывающих в часы пик.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 Количество парковочных мест для МГН следует принимать по СП 59.13330</w:t>
            </w:r>
          </w:p>
        </w:tc>
        <w:tc>
          <w:tcPr>
            <w:tcW w:w="42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».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4 примечаний к таблице 3.6 «Объекты местного значения в области благоустройства и озеленения» слова «случае если на одного человека» заменить словами «В случае если на одного человека».</w:t>
      </w:r>
    </w:p>
    <w:p>
      <w:pPr>
        <w:pStyle w:val="ListParagraph"/>
        <w:numPr>
          <w:ilvl w:val="0"/>
          <w:numId w:val="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таблице 4.1 «Порядок применения расчетных показателей при подготовке документов территориального планирования, документации по планировке территории, правил землепользования и застройки» слова «Лечебно-профилактические медицинские организации медицинскую помощь в стационарных условиях» заменить словами «Лечебно-профилактические медицинские организации, оказывающие медицинскую помощь в стационарных условиях».</w:t>
      </w:r>
    </w:p>
    <w:p>
      <w:pPr>
        <w:pStyle w:val="ListParagraph"/>
        <w:numPr>
          <w:ilvl w:val="0"/>
          <w:numId w:val="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№ 2 к региональным нормативам градостроительного проектирования Рязанской области:</w:t>
      </w:r>
    </w:p>
    <w:p>
      <w:pPr>
        <w:pStyle w:val="ListParagraph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заголовке слово «применяемых» заменить словом «применяемые»;</w:t>
      </w:r>
    </w:p>
    <w:p>
      <w:pPr>
        <w:pStyle w:val="ListParagraph"/>
        <w:spacing w:before="0" w:after="160"/>
        <w:ind w:left="142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абзац 8 исклю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чить.</w:t>
      </w:r>
    </w:p>
    <w:sectPr>
      <w:type w:val="nextPage"/>
      <w:pgSz w:w="11906" w:h="16838"/>
      <w:pgMar w:left="993" w:right="70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c7bb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A" w:customStyle="1">
    <w:name w:val="a"/>
    <w:basedOn w:val="Normal"/>
    <w:qFormat/>
    <w:rsid w:val="00cd2e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8263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c7b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LibreOffice/7.0.1.2$Windows_X86_64 LibreOffice_project/7cbcfc562f6eb6708b5ff7d7397325de9e764452</Application>
  <Pages>6</Pages>
  <Words>1396</Words>
  <Characters>10088</Characters>
  <CharactersWithSpaces>11285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2024-06-19T14:51:00Z</dcterms:created>
  <dc:creator>Наталия Е. Улюшева</dc:creator>
  <dc:description/>
  <dc:language>ru-RU</dc:language>
  <cp:lastModifiedBy/>
  <cp:lastPrinted>2024-06-26T13:05:00Z</cp:lastPrinted>
  <dcterms:modified xsi:type="dcterms:W3CDTF">2024-07-24T17:32:19Z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