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9C0" w:rsidRDefault="007719C0" w:rsidP="003907F7">
      <w:pPr>
        <w:shd w:val="clear" w:color="auto" w:fill="FFFFFF"/>
        <w:spacing w:line="326" w:lineRule="exact"/>
        <w:ind w:left="486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Приложение к постановлению министерства топливно-энергетического комплекса и жилищно-коммунального хозяйства Рязанской области </w:t>
      </w:r>
    </w:p>
    <w:p w:rsidR="007719C0" w:rsidRDefault="007719C0" w:rsidP="003907F7">
      <w:pPr>
        <w:shd w:val="clear" w:color="auto" w:fill="FFFFFF"/>
        <w:spacing w:line="326" w:lineRule="exact"/>
        <w:ind w:left="486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от </w:t>
      </w:r>
      <w:r w:rsidR="005B79D1">
        <w:rPr>
          <w:rFonts w:ascii="Times New Roman" w:hAnsi="Times New Roman"/>
          <w:spacing w:val="-2"/>
          <w:sz w:val="28"/>
          <w:szCs w:val="28"/>
        </w:rPr>
        <w:t>_</w:t>
      </w:r>
      <w:r w:rsidR="00F02C3C">
        <w:rPr>
          <w:rFonts w:ascii="Times New Roman" w:hAnsi="Times New Roman"/>
          <w:spacing w:val="-2"/>
          <w:sz w:val="28"/>
          <w:szCs w:val="28"/>
        </w:rPr>
        <w:t>_</w:t>
      </w:r>
      <w:r w:rsidR="005B79D1">
        <w:rPr>
          <w:rFonts w:ascii="Times New Roman" w:hAnsi="Times New Roman"/>
          <w:spacing w:val="-2"/>
          <w:sz w:val="28"/>
          <w:szCs w:val="28"/>
        </w:rPr>
        <w:t>_</w:t>
      </w:r>
      <w:r w:rsidR="00B8115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02C3C">
        <w:rPr>
          <w:rFonts w:ascii="Times New Roman" w:hAnsi="Times New Roman"/>
          <w:spacing w:val="-2"/>
          <w:sz w:val="28"/>
          <w:szCs w:val="28"/>
        </w:rPr>
        <w:t>______________</w:t>
      </w:r>
      <w:r>
        <w:rPr>
          <w:rFonts w:ascii="Times New Roman" w:hAnsi="Times New Roman"/>
          <w:spacing w:val="-2"/>
          <w:sz w:val="28"/>
          <w:szCs w:val="28"/>
        </w:rPr>
        <w:t xml:space="preserve"> 20</w:t>
      </w:r>
      <w:r w:rsidR="009F1F00">
        <w:rPr>
          <w:rFonts w:ascii="Times New Roman" w:hAnsi="Times New Roman"/>
          <w:spacing w:val="-2"/>
          <w:sz w:val="28"/>
          <w:szCs w:val="28"/>
        </w:rPr>
        <w:t>24</w:t>
      </w:r>
      <w:r>
        <w:rPr>
          <w:rFonts w:ascii="Times New Roman" w:hAnsi="Times New Roman"/>
          <w:spacing w:val="-2"/>
          <w:sz w:val="28"/>
          <w:szCs w:val="28"/>
        </w:rPr>
        <w:t xml:space="preserve"> г. № </w:t>
      </w:r>
      <w:r w:rsidR="005B79D1">
        <w:rPr>
          <w:rFonts w:ascii="Times New Roman" w:hAnsi="Times New Roman"/>
          <w:spacing w:val="-2"/>
          <w:sz w:val="28"/>
          <w:szCs w:val="28"/>
        </w:rPr>
        <w:t>___</w:t>
      </w:r>
    </w:p>
    <w:p w:rsidR="007719C0" w:rsidRDefault="007719C0" w:rsidP="003907F7">
      <w:pPr>
        <w:shd w:val="clear" w:color="auto" w:fill="FFFFFF"/>
        <w:spacing w:line="326" w:lineRule="exact"/>
        <w:ind w:left="4860"/>
        <w:rPr>
          <w:rFonts w:ascii="Times New Roman" w:hAnsi="Times New Roman"/>
          <w:spacing w:val="-2"/>
          <w:sz w:val="28"/>
          <w:szCs w:val="28"/>
        </w:rPr>
      </w:pPr>
    </w:p>
    <w:p w:rsidR="005B79D1" w:rsidRDefault="005B79D1" w:rsidP="003907F7">
      <w:pPr>
        <w:shd w:val="clear" w:color="auto" w:fill="FFFFFF"/>
        <w:spacing w:line="326" w:lineRule="exact"/>
        <w:ind w:left="4860"/>
        <w:rPr>
          <w:rFonts w:ascii="Times New Roman" w:hAnsi="Times New Roman"/>
          <w:spacing w:val="-2"/>
          <w:sz w:val="28"/>
          <w:szCs w:val="28"/>
        </w:rPr>
      </w:pPr>
    </w:p>
    <w:p w:rsidR="005B79D1" w:rsidRPr="005B79D1" w:rsidRDefault="009F1F00" w:rsidP="005B79D1">
      <w:pPr>
        <w:jc w:val="center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F1F00">
        <w:rPr>
          <w:rFonts w:ascii="Times New Roman" w:hAnsi="Times New Roman"/>
          <w:sz w:val="28"/>
          <w:szCs w:val="28"/>
        </w:rPr>
        <w:t>словия оплаты труда руководителей, заместителей руководителя, главных бухгалтеров государственных унитарных предприятий Рязанской области, находящихся в подведомственности министерству топливно-энергетического комплекса и жилищно-коммунального хозяйства Рязанской области</w:t>
      </w:r>
      <w:r w:rsidR="005B79D1" w:rsidRPr="005B79D1">
        <w:rPr>
          <w:rFonts w:ascii="Times New Roman" w:hAnsi="Times New Roman" w:cs="Arial"/>
          <w:bCs/>
          <w:sz w:val="28"/>
          <w:szCs w:val="28"/>
        </w:rPr>
        <w:t xml:space="preserve"> </w:t>
      </w:r>
    </w:p>
    <w:p w:rsidR="005B79D1" w:rsidRPr="005B79D1" w:rsidRDefault="005B79D1" w:rsidP="005B79D1">
      <w:pPr>
        <w:jc w:val="center"/>
        <w:rPr>
          <w:rFonts w:ascii="Times New Roman" w:hAnsi="Times New Roman" w:cs="Arial"/>
          <w:bCs/>
          <w:sz w:val="28"/>
          <w:szCs w:val="28"/>
        </w:rPr>
      </w:pPr>
    </w:p>
    <w:p w:rsidR="0026291B" w:rsidRDefault="0026291B" w:rsidP="004E1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</w:t>
      </w:r>
      <w:r w:rsidRPr="009F1F00">
        <w:rPr>
          <w:rFonts w:ascii="Times New Roman" w:hAnsi="Times New Roman"/>
          <w:sz w:val="28"/>
          <w:szCs w:val="28"/>
        </w:rPr>
        <w:t>словия оплаты труда руководителей, заместителей руководителя, главных бухгалтеров государственных унитарных предприятий Рязанской области, находящихся в подведомственности министерству топливно-энергетического комплекса и жилищно-коммунального хозяйства Рязанской области</w:t>
      </w:r>
      <w:r>
        <w:rPr>
          <w:rFonts w:ascii="Times New Roman" w:hAnsi="Times New Roman"/>
          <w:sz w:val="28"/>
          <w:szCs w:val="28"/>
        </w:rPr>
        <w:t xml:space="preserve"> (далее – Условия), разработаны в соответствии с </w:t>
      </w:r>
      <w:r w:rsidRPr="00544B1F">
        <w:rPr>
          <w:rFonts w:ascii="Times New Roman" w:hAnsi="Times New Roman"/>
          <w:sz w:val="28"/>
          <w:szCs w:val="28"/>
        </w:rPr>
        <w:t>со статьей 145 Трудового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258D2">
        <w:rPr>
          <w:rFonts w:ascii="Times New Roman" w:hAnsi="Times New Roman"/>
          <w:sz w:val="28"/>
          <w:szCs w:val="28"/>
        </w:rPr>
        <w:t xml:space="preserve">статьями 2.1, 2.2 Закона Рязанской области от 15 октября 2012 года </w:t>
      </w:r>
      <w:r>
        <w:rPr>
          <w:rFonts w:ascii="Times New Roman" w:hAnsi="Times New Roman"/>
          <w:sz w:val="28"/>
          <w:szCs w:val="28"/>
        </w:rPr>
        <w:t>№</w:t>
      </w:r>
      <w:r w:rsidRPr="006258D2">
        <w:rPr>
          <w:rFonts w:ascii="Times New Roman" w:hAnsi="Times New Roman"/>
          <w:sz w:val="28"/>
          <w:szCs w:val="28"/>
        </w:rPr>
        <w:t xml:space="preserve"> 79-ОЗ </w:t>
      </w:r>
      <w:r>
        <w:rPr>
          <w:rFonts w:ascii="Times New Roman" w:hAnsi="Times New Roman"/>
          <w:sz w:val="28"/>
          <w:szCs w:val="28"/>
        </w:rPr>
        <w:t>«</w:t>
      </w:r>
      <w:r w:rsidRPr="006258D2">
        <w:rPr>
          <w:rFonts w:ascii="Times New Roman" w:hAnsi="Times New Roman"/>
          <w:sz w:val="28"/>
          <w:szCs w:val="28"/>
        </w:rPr>
        <w:t>О реализации отдельных положений Трудового кодекса Российской Федерации в сфере оплаты труда на территории Рязанской области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44B1F">
        <w:rPr>
          <w:rFonts w:ascii="Times New Roman" w:hAnsi="Times New Roman"/>
          <w:sz w:val="28"/>
          <w:szCs w:val="28"/>
        </w:rPr>
        <w:t xml:space="preserve"> постановлением Правительства Рязанской области от </w:t>
      </w:r>
      <w:r>
        <w:rPr>
          <w:rFonts w:ascii="Times New Roman" w:hAnsi="Times New Roman"/>
          <w:sz w:val="28"/>
          <w:szCs w:val="28"/>
        </w:rPr>
        <w:t>20 июня 2018 года</w:t>
      </w:r>
      <w:r w:rsidRPr="00544B1F">
        <w:rPr>
          <w:rFonts w:ascii="Times New Roman" w:hAnsi="Times New Roman"/>
          <w:sz w:val="28"/>
          <w:szCs w:val="28"/>
        </w:rPr>
        <w:t xml:space="preserve"> № 170 «О реализации статей 2.1, 2.2 Закона Рязанской области от 15 октября 2012 года №</w:t>
      </w:r>
      <w:r>
        <w:rPr>
          <w:rFonts w:ascii="Times New Roman" w:hAnsi="Times New Roman"/>
          <w:sz w:val="28"/>
          <w:szCs w:val="28"/>
        </w:rPr>
        <w:t> </w:t>
      </w:r>
      <w:r w:rsidRPr="00544B1F">
        <w:rPr>
          <w:rFonts w:ascii="Times New Roman" w:hAnsi="Times New Roman"/>
          <w:sz w:val="28"/>
          <w:szCs w:val="28"/>
        </w:rPr>
        <w:t>79-ОЗ «О реализации отдельных положений Трудового кодекса Российской Федерации в сфере оплаты труда на территории Рязанской области»</w:t>
      </w:r>
      <w:r>
        <w:rPr>
          <w:rFonts w:ascii="Times New Roman" w:hAnsi="Times New Roman"/>
          <w:sz w:val="28"/>
          <w:szCs w:val="28"/>
        </w:rPr>
        <w:t xml:space="preserve">, постановлением Правительства Рязанской области, </w:t>
      </w:r>
      <w:r w:rsidRPr="000206A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августа 2008 года</w:t>
      </w:r>
      <w:r w:rsidRPr="00020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</w:t>
      </w:r>
      <w:r w:rsidRPr="000206AF">
        <w:rPr>
          <w:rFonts w:ascii="Times New Roman" w:hAnsi="Times New Roman"/>
          <w:sz w:val="28"/>
          <w:szCs w:val="28"/>
        </w:rPr>
        <w:t>173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206AF">
        <w:rPr>
          <w:rFonts w:ascii="Times New Roman" w:hAnsi="Times New Roman"/>
          <w:sz w:val="28"/>
          <w:szCs w:val="28"/>
        </w:rPr>
        <w:t>О ведомственной подчиненности государственных унитарных предприятий Рязанской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4E1964" w:rsidRPr="004E1964" w:rsidRDefault="0026291B" w:rsidP="004E1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1964" w:rsidRPr="004E19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4E1964" w:rsidRPr="004E1964">
        <w:rPr>
          <w:rFonts w:ascii="Times New Roman" w:hAnsi="Times New Roman"/>
          <w:sz w:val="28"/>
          <w:szCs w:val="28"/>
        </w:rPr>
        <w:t>Оплата труда руководител</w:t>
      </w:r>
      <w:r w:rsidR="004E1964">
        <w:rPr>
          <w:rFonts w:ascii="Times New Roman" w:hAnsi="Times New Roman"/>
          <w:sz w:val="28"/>
          <w:szCs w:val="28"/>
        </w:rPr>
        <w:t>ей</w:t>
      </w:r>
      <w:r w:rsidR="004E1964" w:rsidRPr="004E1964">
        <w:rPr>
          <w:rFonts w:ascii="Times New Roman" w:hAnsi="Times New Roman"/>
          <w:sz w:val="28"/>
          <w:szCs w:val="28"/>
        </w:rPr>
        <w:t>, заместителей руководителя, главн</w:t>
      </w:r>
      <w:r w:rsidR="004E1964">
        <w:rPr>
          <w:rFonts w:ascii="Times New Roman" w:hAnsi="Times New Roman"/>
          <w:sz w:val="28"/>
          <w:szCs w:val="28"/>
        </w:rPr>
        <w:t>ых</w:t>
      </w:r>
      <w:r w:rsidR="004E1964" w:rsidRPr="004E1964">
        <w:rPr>
          <w:rFonts w:ascii="Times New Roman" w:hAnsi="Times New Roman"/>
          <w:sz w:val="28"/>
          <w:szCs w:val="28"/>
        </w:rPr>
        <w:t xml:space="preserve"> бухгалтер</w:t>
      </w:r>
      <w:r w:rsidR="004E1964">
        <w:rPr>
          <w:rFonts w:ascii="Times New Roman" w:hAnsi="Times New Roman"/>
          <w:sz w:val="28"/>
          <w:szCs w:val="28"/>
        </w:rPr>
        <w:t>ов</w:t>
      </w:r>
      <w:r w:rsidR="004E1964" w:rsidRPr="004E1964">
        <w:rPr>
          <w:rFonts w:ascii="Times New Roman" w:hAnsi="Times New Roman"/>
          <w:sz w:val="28"/>
          <w:szCs w:val="28"/>
        </w:rPr>
        <w:t xml:space="preserve"> </w:t>
      </w:r>
      <w:r w:rsidR="007D14D2" w:rsidRPr="009F1F00">
        <w:rPr>
          <w:rFonts w:ascii="Times New Roman" w:hAnsi="Times New Roman"/>
          <w:sz w:val="28"/>
          <w:szCs w:val="28"/>
        </w:rPr>
        <w:t>государственных унитарных предприятий Рязанской области</w:t>
      </w:r>
      <w:r w:rsidR="007D14D2">
        <w:rPr>
          <w:rFonts w:ascii="Times New Roman" w:hAnsi="Times New Roman"/>
          <w:sz w:val="28"/>
          <w:szCs w:val="28"/>
        </w:rPr>
        <w:t xml:space="preserve"> (далее – предприятие)</w:t>
      </w:r>
      <w:r w:rsidR="004E1964" w:rsidRPr="004E1964">
        <w:rPr>
          <w:rFonts w:ascii="Times New Roman" w:hAnsi="Times New Roman"/>
          <w:sz w:val="28"/>
          <w:szCs w:val="28"/>
        </w:rPr>
        <w:t xml:space="preserve"> состоит из должностного оклада, выплат компенсационного и стимулирующего характера.</w:t>
      </w:r>
    </w:p>
    <w:p w:rsidR="004E1964" w:rsidRPr="004E1964" w:rsidRDefault="004E1964" w:rsidP="004E1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964">
        <w:rPr>
          <w:rFonts w:ascii="Times New Roman" w:hAnsi="Times New Roman"/>
          <w:sz w:val="28"/>
          <w:szCs w:val="28"/>
        </w:rPr>
        <w:t xml:space="preserve">Размер должностного оклада руководителя предприятия определяется </w:t>
      </w:r>
      <w:r w:rsidR="007D14D2">
        <w:rPr>
          <w:rFonts w:ascii="Times New Roman" w:hAnsi="Times New Roman"/>
          <w:sz w:val="28"/>
          <w:szCs w:val="28"/>
        </w:rPr>
        <w:t>м</w:t>
      </w:r>
      <w:r w:rsidRPr="004E1964">
        <w:rPr>
          <w:rFonts w:ascii="Times New Roman" w:hAnsi="Times New Roman"/>
          <w:sz w:val="28"/>
          <w:szCs w:val="28"/>
        </w:rPr>
        <w:t>инистерством</w:t>
      </w:r>
      <w:r w:rsidR="007D14D2">
        <w:rPr>
          <w:rFonts w:ascii="Times New Roman" w:hAnsi="Times New Roman"/>
          <w:sz w:val="28"/>
          <w:szCs w:val="28"/>
        </w:rPr>
        <w:t xml:space="preserve"> </w:t>
      </w:r>
      <w:r w:rsidR="007D14D2" w:rsidRPr="009F1F00">
        <w:rPr>
          <w:rFonts w:ascii="Times New Roman" w:hAnsi="Times New Roman"/>
          <w:sz w:val="28"/>
          <w:szCs w:val="28"/>
        </w:rPr>
        <w:t>топливно-энергетического комплекса и жилищно-коммунального хозяйства Рязанской области</w:t>
      </w:r>
      <w:r w:rsidR="007D14D2">
        <w:rPr>
          <w:rFonts w:ascii="Times New Roman" w:hAnsi="Times New Roman"/>
          <w:sz w:val="28"/>
          <w:szCs w:val="28"/>
        </w:rPr>
        <w:t xml:space="preserve"> (далее – Министерство)</w:t>
      </w:r>
      <w:r w:rsidRPr="004E1964">
        <w:rPr>
          <w:rFonts w:ascii="Times New Roman" w:hAnsi="Times New Roman"/>
          <w:sz w:val="28"/>
          <w:szCs w:val="28"/>
        </w:rPr>
        <w:t>, в зависимости от сложности труда, в том числе с учетом масштаба управления и особенностей деятельности и значимости предприятия.</w:t>
      </w:r>
    </w:p>
    <w:p w:rsidR="004E1964" w:rsidRPr="004E1964" w:rsidRDefault="004E1964" w:rsidP="004E1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964">
        <w:rPr>
          <w:rFonts w:ascii="Times New Roman" w:hAnsi="Times New Roman"/>
          <w:sz w:val="28"/>
          <w:szCs w:val="28"/>
        </w:rPr>
        <w:t>Размер должностного оклада руководителя предприятия может пересматриваться не более одного раза в год по результатам сдачи годовой бухгалтерской отчетности о деятельности предприятия за истекший финансовый год.</w:t>
      </w:r>
    </w:p>
    <w:p w:rsidR="0026291B" w:rsidRPr="0026291B" w:rsidRDefault="0026291B" w:rsidP="002629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91B">
        <w:rPr>
          <w:rFonts w:ascii="Times New Roman" w:hAnsi="Times New Roman"/>
          <w:sz w:val="28"/>
          <w:szCs w:val="28"/>
        </w:rPr>
        <w:t xml:space="preserve">Должностные оклады заместителей руководителей и главных бухгалтеров предприятий устанавливаются </w:t>
      </w:r>
      <w:r w:rsidR="00843AA2">
        <w:rPr>
          <w:rFonts w:ascii="Times New Roman" w:hAnsi="Times New Roman"/>
          <w:sz w:val="28"/>
          <w:szCs w:val="28"/>
        </w:rPr>
        <w:t>в соответствии с приложением № 1 к Условиям</w:t>
      </w:r>
      <w:r w:rsidRPr="0026291B">
        <w:rPr>
          <w:rFonts w:ascii="Times New Roman" w:hAnsi="Times New Roman"/>
          <w:sz w:val="28"/>
          <w:szCs w:val="28"/>
        </w:rPr>
        <w:t>.</w:t>
      </w:r>
    </w:p>
    <w:p w:rsidR="004E1964" w:rsidRPr="004E1964" w:rsidRDefault="0026291B" w:rsidP="002629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91B">
        <w:rPr>
          <w:rFonts w:ascii="Times New Roman" w:hAnsi="Times New Roman"/>
          <w:sz w:val="28"/>
          <w:szCs w:val="28"/>
        </w:rPr>
        <w:lastRenderedPageBreak/>
        <w:t>Размеры должностного оклада, выплат компенсационного и стимулирующего характера руководителям, заместителям руководителей и главным бухгалтерам предприятий устанавливаются в трудовом договоре, заключаемом:</w:t>
      </w:r>
    </w:p>
    <w:p w:rsidR="004E1964" w:rsidRPr="004E1964" w:rsidRDefault="004E1964" w:rsidP="004E1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964">
        <w:rPr>
          <w:rFonts w:ascii="Times New Roman" w:hAnsi="Times New Roman"/>
          <w:sz w:val="28"/>
          <w:szCs w:val="28"/>
        </w:rPr>
        <w:t>с руководителем предприятия - Министерством;</w:t>
      </w:r>
    </w:p>
    <w:p w:rsidR="004E1964" w:rsidRPr="004E1964" w:rsidRDefault="004E1964" w:rsidP="004E1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964">
        <w:rPr>
          <w:rFonts w:ascii="Times New Roman" w:hAnsi="Times New Roman"/>
          <w:sz w:val="28"/>
          <w:szCs w:val="28"/>
        </w:rPr>
        <w:t>с заместителями руководителя и главным</w:t>
      </w:r>
      <w:r w:rsidR="0026291B">
        <w:rPr>
          <w:rFonts w:ascii="Times New Roman" w:hAnsi="Times New Roman"/>
          <w:sz w:val="28"/>
          <w:szCs w:val="28"/>
        </w:rPr>
        <w:t>и</w:t>
      </w:r>
      <w:r w:rsidRPr="004E1964">
        <w:rPr>
          <w:rFonts w:ascii="Times New Roman" w:hAnsi="Times New Roman"/>
          <w:sz w:val="28"/>
          <w:szCs w:val="28"/>
        </w:rPr>
        <w:t xml:space="preserve"> бухгалтер</w:t>
      </w:r>
      <w:r w:rsidR="0026291B">
        <w:rPr>
          <w:rFonts w:ascii="Times New Roman" w:hAnsi="Times New Roman"/>
          <w:sz w:val="28"/>
          <w:szCs w:val="28"/>
        </w:rPr>
        <w:t>ами</w:t>
      </w:r>
      <w:r w:rsidRPr="004E1964">
        <w:rPr>
          <w:rFonts w:ascii="Times New Roman" w:hAnsi="Times New Roman"/>
          <w:sz w:val="28"/>
          <w:szCs w:val="28"/>
        </w:rPr>
        <w:t xml:space="preserve"> предприятия - руководител</w:t>
      </w:r>
      <w:r w:rsidR="0026291B">
        <w:rPr>
          <w:rFonts w:ascii="Times New Roman" w:hAnsi="Times New Roman"/>
          <w:sz w:val="28"/>
          <w:szCs w:val="28"/>
        </w:rPr>
        <w:t>ями</w:t>
      </w:r>
      <w:r w:rsidRPr="004E1964">
        <w:rPr>
          <w:rFonts w:ascii="Times New Roman" w:hAnsi="Times New Roman"/>
          <w:sz w:val="28"/>
          <w:szCs w:val="28"/>
        </w:rPr>
        <w:t xml:space="preserve"> предприяти</w:t>
      </w:r>
      <w:r w:rsidR="0026291B">
        <w:rPr>
          <w:rFonts w:ascii="Times New Roman" w:hAnsi="Times New Roman"/>
          <w:sz w:val="28"/>
          <w:szCs w:val="28"/>
        </w:rPr>
        <w:t>й</w:t>
      </w:r>
      <w:r w:rsidRPr="004E1964">
        <w:rPr>
          <w:rFonts w:ascii="Times New Roman" w:hAnsi="Times New Roman"/>
          <w:sz w:val="28"/>
          <w:szCs w:val="28"/>
        </w:rPr>
        <w:t xml:space="preserve"> с учетом </w:t>
      </w:r>
      <w:r w:rsidR="0026291B">
        <w:rPr>
          <w:rFonts w:ascii="Times New Roman" w:hAnsi="Times New Roman"/>
          <w:sz w:val="28"/>
          <w:szCs w:val="28"/>
        </w:rPr>
        <w:t>Условий</w:t>
      </w:r>
      <w:r w:rsidRPr="004E1964">
        <w:rPr>
          <w:rFonts w:ascii="Times New Roman" w:hAnsi="Times New Roman"/>
          <w:sz w:val="28"/>
          <w:szCs w:val="28"/>
        </w:rPr>
        <w:t>.</w:t>
      </w:r>
    </w:p>
    <w:p w:rsidR="0026291B" w:rsidRPr="007F5C48" w:rsidRDefault="004E1964" w:rsidP="002629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E1964">
        <w:rPr>
          <w:rFonts w:ascii="Times New Roman" w:hAnsi="Times New Roman"/>
          <w:sz w:val="28"/>
          <w:szCs w:val="28"/>
        </w:rPr>
        <w:t>3.</w:t>
      </w:r>
      <w:r w:rsidR="0026291B">
        <w:rPr>
          <w:rFonts w:ascii="Times New Roman" w:hAnsi="Times New Roman"/>
          <w:sz w:val="28"/>
          <w:szCs w:val="28"/>
        </w:rPr>
        <w:t> </w:t>
      </w:r>
      <w:r w:rsidR="0026291B" w:rsidRPr="0026291B">
        <w:rPr>
          <w:rFonts w:ascii="Times New Roman" w:hAnsi="Times New Roman"/>
          <w:sz w:val="28"/>
          <w:szCs w:val="28"/>
        </w:rPr>
        <w:t xml:space="preserve">Выплаты компенсационного характера устанавливаются для руководителей, заместителей руководителей, главных бухгалтеров </w:t>
      </w:r>
      <w:r w:rsidR="0026291B" w:rsidRPr="007F5C48">
        <w:rPr>
          <w:rFonts w:ascii="Times New Roman" w:hAnsi="Times New Roman"/>
          <w:sz w:val="28"/>
          <w:szCs w:val="28"/>
        </w:rPr>
        <w:t>предприятий в порядке и размерах, предусмотренных Трудовым кодексом Российской Федерации и иными нормативными правовыми актами Российской Федерации, содержащими нормы трудового права.</w:t>
      </w:r>
    </w:p>
    <w:p w:rsidR="005B79D1" w:rsidRPr="007F5C48" w:rsidRDefault="0026291B" w:rsidP="002629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 xml:space="preserve">5. Для поощрения руководителей, заместителей руководителей, главных бухгалтеров предприятий устанавливаются выплаты стимулирующего характера, которые осуществляются по результатам достижения предприятием </w:t>
      </w:r>
      <w:r w:rsidR="00FC6E1B" w:rsidRPr="007F5C48">
        <w:rPr>
          <w:rFonts w:ascii="Times New Roman" w:hAnsi="Times New Roman"/>
          <w:sz w:val="28"/>
          <w:szCs w:val="28"/>
        </w:rPr>
        <w:t xml:space="preserve">за отчетный период </w:t>
      </w:r>
      <w:r w:rsidRPr="007F5C48">
        <w:rPr>
          <w:rFonts w:ascii="Times New Roman" w:hAnsi="Times New Roman"/>
          <w:sz w:val="28"/>
          <w:szCs w:val="28"/>
        </w:rPr>
        <w:t xml:space="preserve">ключевых показателей экономической эффективности его деятельности, утвержденных в </w:t>
      </w:r>
      <w:r w:rsidR="00D62FC9" w:rsidRPr="007F5C48">
        <w:rPr>
          <w:rFonts w:ascii="Times New Roman" w:hAnsi="Times New Roman"/>
          <w:sz w:val="28"/>
          <w:szCs w:val="28"/>
        </w:rPr>
        <w:t xml:space="preserve">приложении № </w:t>
      </w:r>
      <w:r w:rsidR="00F466C4" w:rsidRPr="007F5C48">
        <w:rPr>
          <w:rFonts w:ascii="Times New Roman" w:hAnsi="Times New Roman"/>
          <w:sz w:val="28"/>
          <w:szCs w:val="28"/>
        </w:rPr>
        <w:t>2</w:t>
      </w:r>
      <w:r w:rsidR="00D62FC9" w:rsidRPr="007F5C48">
        <w:rPr>
          <w:rFonts w:ascii="Times New Roman" w:hAnsi="Times New Roman"/>
          <w:sz w:val="28"/>
          <w:szCs w:val="28"/>
        </w:rPr>
        <w:t xml:space="preserve"> к Условиям</w:t>
      </w:r>
      <w:r w:rsidRPr="007F5C48">
        <w:rPr>
          <w:rFonts w:ascii="Times New Roman" w:hAnsi="Times New Roman"/>
          <w:sz w:val="28"/>
          <w:szCs w:val="28"/>
        </w:rPr>
        <w:t>, с учетом личного вклада руководителя, заместителей руководителя, главного бухгалтера предприятия в осуществлении основных задач и функций, определенных уставом предприятия.</w:t>
      </w:r>
      <w:r w:rsidR="005B79D1" w:rsidRPr="007F5C48">
        <w:rPr>
          <w:rFonts w:ascii="Times New Roman" w:hAnsi="Times New Roman"/>
          <w:sz w:val="28"/>
          <w:szCs w:val="28"/>
        </w:rPr>
        <w:t xml:space="preserve"> </w:t>
      </w:r>
    </w:p>
    <w:p w:rsidR="0013405A" w:rsidRPr="007F5C48" w:rsidRDefault="0013405A" w:rsidP="002629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>Отчетным</w:t>
      </w:r>
      <w:r w:rsidR="001D7A3E" w:rsidRPr="007F5C48">
        <w:rPr>
          <w:rFonts w:ascii="Times New Roman" w:hAnsi="Times New Roman"/>
          <w:sz w:val="28"/>
          <w:szCs w:val="28"/>
        </w:rPr>
        <w:t>и</w:t>
      </w:r>
      <w:r w:rsidRPr="007F5C48">
        <w:rPr>
          <w:rFonts w:ascii="Times New Roman" w:hAnsi="Times New Roman"/>
          <w:sz w:val="28"/>
          <w:szCs w:val="28"/>
        </w:rPr>
        <w:t xml:space="preserve"> период</w:t>
      </w:r>
      <w:r w:rsidR="001D7A3E" w:rsidRPr="007F5C48">
        <w:rPr>
          <w:rFonts w:ascii="Times New Roman" w:hAnsi="Times New Roman"/>
          <w:sz w:val="28"/>
          <w:szCs w:val="28"/>
        </w:rPr>
        <w:t>ами</w:t>
      </w:r>
      <w:r w:rsidRPr="007F5C48">
        <w:rPr>
          <w:rFonts w:ascii="Times New Roman" w:hAnsi="Times New Roman"/>
          <w:sz w:val="28"/>
          <w:szCs w:val="28"/>
        </w:rPr>
        <w:t xml:space="preserve"> явля</w:t>
      </w:r>
      <w:r w:rsidR="001D7A3E" w:rsidRPr="007F5C48">
        <w:rPr>
          <w:rFonts w:ascii="Times New Roman" w:hAnsi="Times New Roman"/>
          <w:sz w:val="28"/>
          <w:szCs w:val="28"/>
        </w:rPr>
        <w:t>ю</w:t>
      </w:r>
      <w:r w:rsidRPr="007F5C48">
        <w:rPr>
          <w:rFonts w:ascii="Times New Roman" w:hAnsi="Times New Roman"/>
          <w:sz w:val="28"/>
          <w:szCs w:val="28"/>
        </w:rPr>
        <w:t xml:space="preserve">тся </w:t>
      </w:r>
      <w:r w:rsidR="001D7A3E" w:rsidRPr="007F5C48">
        <w:rPr>
          <w:rFonts w:ascii="Times New Roman" w:hAnsi="Times New Roman"/>
          <w:sz w:val="28"/>
          <w:szCs w:val="28"/>
        </w:rPr>
        <w:t xml:space="preserve">1 </w:t>
      </w:r>
      <w:r w:rsidRPr="007F5C48">
        <w:rPr>
          <w:rFonts w:ascii="Times New Roman" w:hAnsi="Times New Roman"/>
          <w:sz w:val="28"/>
          <w:szCs w:val="28"/>
        </w:rPr>
        <w:t>квартал</w:t>
      </w:r>
      <w:r w:rsidR="001D7A3E" w:rsidRPr="007F5C48">
        <w:rPr>
          <w:rFonts w:ascii="Times New Roman" w:hAnsi="Times New Roman"/>
          <w:sz w:val="28"/>
          <w:szCs w:val="28"/>
        </w:rPr>
        <w:t>, полугодие, 9 месяцев, год</w:t>
      </w:r>
      <w:r w:rsidRPr="007F5C48">
        <w:rPr>
          <w:rFonts w:ascii="Times New Roman" w:hAnsi="Times New Roman"/>
          <w:sz w:val="28"/>
          <w:szCs w:val="28"/>
        </w:rPr>
        <w:t>.</w:t>
      </w:r>
    </w:p>
    <w:p w:rsidR="00951798" w:rsidRPr="007F5C48" w:rsidRDefault="000F3F31" w:rsidP="008F4E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 xml:space="preserve">5.1 </w:t>
      </w:r>
      <w:r w:rsidR="00F1050A" w:rsidRPr="007F5C48">
        <w:rPr>
          <w:rFonts w:ascii="Times New Roman" w:hAnsi="Times New Roman"/>
          <w:sz w:val="28"/>
          <w:szCs w:val="28"/>
        </w:rPr>
        <w:t>В</w:t>
      </w:r>
      <w:r w:rsidR="00F5749C" w:rsidRPr="007F5C48">
        <w:rPr>
          <w:rFonts w:ascii="Times New Roman" w:hAnsi="Times New Roman"/>
          <w:sz w:val="28"/>
          <w:szCs w:val="28"/>
        </w:rPr>
        <w:t xml:space="preserve"> </w:t>
      </w:r>
      <w:r w:rsidR="00D1315D" w:rsidRPr="007F5C48">
        <w:rPr>
          <w:rFonts w:ascii="Times New Roman" w:hAnsi="Times New Roman"/>
          <w:sz w:val="28"/>
          <w:szCs w:val="28"/>
        </w:rPr>
        <w:t>цел</w:t>
      </w:r>
      <w:r w:rsidR="00F1050A" w:rsidRPr="007F5C48">
        <w:rPr>
          <w:rFonts w:ascii="Times New Roman" w:hAnsi="Times New Roman"/>
          <w:sz w:val="28"/>
          <w:szCs w:val="28"/>
        </w:rPr>
        <w:t>ях</w:t>
      </w:r>
      <w:r w:rsidR="00D1315D" w:rsidRPr="007F5C48">
        <w:rPr>
          <w:rFonts w:ascii="Times New Roman" w:hAnsi="Times New Roman"/>
          <w:sz w:val="28"/>
          <w:szCs w:val="28"/>
        </w:rPr>
        <w:t xml:space="preserve"> </w:t>
      </w:r>
      <w:r w:rsidR="00F5749C" w:rsidRPr="007F5C48">
        <w:rPr>
          <w:rFonts w:ascii="Times New Roman" w:hAnsi="Times New Roman"/>
          <w:sz w:val="28"/>
          <w:szCs w:val="28"/>
        </w:rPr>
        <w:t xml:space="preserve">оценки результатов достижения ключевых показателей экономической эффективности деятельности </w:t>
      </w:r>
      <w:r w:rsidR="008F4EB7" w:rsidRPr="007F5C48">
        <w:rPr>
          <w:rFonts w:ascii="Times New Roman" w:hAnsi="Times New Roman"/>
          <w:sz w:val="28"/>
          <w:szCs w:val="28"/>
        </w:rPr>
        <w:t xml:space="preserve">за 1 квартал, полугодие, 9 месяцев </w:t>
      </w:r>
      <w:r w:rsidR="007F4965" w:rsidRPr="007F5C48">
        <w:rPr>
          <w:rFonts w:ascii="Times New Roman" w:hAnsi="Times New Roman"/>
          <w:sz w:val="28"/>
          <w:szCs w:val="28"/>
        </w:rPr>
        <w:t>предприяти</w:t>
      </w:r>
      <w:r w:rsidR="00DC11FF" w:rsidRPr="007F5C48">
        <w:rPr>
          <w:rFonts w:ascii="Times New Roman" w:hAnsi="Times New Roman"/>
          <w:sz w:val="28"/>
          <w:szCs w:val="28"/>
        </w:rPr>
        <w:t>е</w:t>
      </w:r>
      <w:r w:rsidR="008F4EB7" w:rsidRPr="007F5C48">
        <w:rPr>
          <w:rFonts w:ascii="Times New Roman" w:hAnsi="Times New Roman"/>
          <w:sz w:val="28"/>
          <w:szCs w:val="28"/>
        </w:rPr>
        <w:t xml:space="preserve"> не позднее </w:t>
      </w:r>
      <w:r w:rsidR="00FC6E1B" w:rsidRPr="007F5C48">
        <w:rPr>
          <w:rFonts w:ascii="Times New Roman" w:hAnsi="Times New Roman"/>
          <w:sz w:val="28"/>
          <w:szCs w:val="28"/>
        </w:rPr>
        <w:t>соответственно</w:t>
      </w:r>
      <w:r w:rsidR="00425FDF" w:rsidRPr="007F5C48">
        <w:rPr>
          <w:rFonts w:ascii="Times New Roman" w:hAnsi="Times New Roman"/>
          <w:sz w:val="28"/>
          <w:szCs w:val="28"/>
        </w:rPr>
        <w:t xml:space="preserve"> </w:t>
      </w:r>
      <w:r w:rsidR="008F4EB7" w:rsidRPr="007F5C48">
        <w:rPr>
          <w:rFonts w:ascii="Times New Roman" w:hAnsi="Times New Roman"/>
          <w:sz w:val="28"/>
          <w:szCs w:val="28"/>
        </w:rPr>
        <w:t>15 мая, 15 августа, 15 ноября</w:t>
      </w:r>
      <w:r w:rsidR="00FC6E1B" w:rsidRPr="007F5C48">
        <w:rPr>
          <w:rFonts w:ascii="Times New Roman" w:hAnsi="Times New Roman"/>
          <w:sz w:val="28"/>
          <w:szCs w:val="28"/>
        </w:rPr>
        <w:t xml:space="preserve"> текущего года</w:t>
      </w:r>
      <w:r w:rsidR="008F4EB7" w:rsidRPr="007F5C48">
        <w:rPr>
          <w:rFonts w:ascii="Times New Roman" w:hAnsi="Times New Roman"/>
          <w:sz w:val="28"/>
          <w:szCs w:val="28"/>
        </w:rPr>
        <w:t xml:space="preserve"> предоставляет в Министерство заверенные копии</w:t>
      </w:r>
      <w:r w:rsidR="00951798" w:rsidRPr="007F5C48">
        <w:rPr>
          <w:rFonts w:ascii="Times New Roman" w:hAnsi="Times New Roman"/>
          <w:sz w:val="28"/>
          <w:szCs w:val="28"/>
        </w:rPr>
        <w:t>:</w:t>
      </w:r>
    </w:p>
    <w:p w:rsidR="00951798" w:rsidRPr="007F5C48" w:rsidRDefault="00951798" w:rsidP="008F4E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 xml:space="preserve"> - утвержденных </w:t>
      </w:r>
      <w:r w:rsidR="00DE4AEA" w:rsidRPr="007F5C48">
        <w:rPr>
          <w:rFonts w:ascii="Times New Roman" w:hAnsi="Times New Roman"/>
          <w:sz w:val="28"/>
          <w:szCs w:val="28"/>
        </w:rPr>
        <w:t xml:space="preserve">министерством имущественных и земельных отношений Рязанской области </w:t>
      </w:r>
      <w:r w:rsidRPr="007F5C48">
        <w:rPr>
          <w:rFonts w:ascii="Times New Roman" w:hAnsi="Times New Roman"/>
          <w:sz w:val="28"/>
          <w:szCs w:val="28"/>
        </w:rPr>
        <w:t>показателей экономической эффективности деятельности предприятий на соответствующи</w:t>
      </w:r>
      <w:r w:rsidR="00F22B6A" w:rsidRPr="007F5C48">
        <w:rPr>
          <w:rFonts w:ascii="Times New Roman" w:hAnsi="Times New Roman"/>
          <w:sz w:val="28"/>
          <w:szCs w:val="28"/>
        </w:rPr>
        <w:t>й</w:t>
      </w:r>
      <w:r w:rsidRPr="007F5C48">
        <w:rPr>
          <w:rFonts w:ascii="Times New Roman" w:hAnsi="Times New Roman"/>
          <w:sz w:val="28"/>
          <w:szCs w:val="28"/>
        </w:rPr>
        <w:t xml:space="preserve"> отчетны</w:t>
      </w:r>
      <w:r w:rsidR="00F22B6A" w:rsidRPr="007F5C48">
        <w:rPr>
          <w:rFonts w:ascii="Times New Roman" w:hAnsi="Times New Roman"/>
          <w:sz w:val="28"/>
          <w:szCs w:val="28"/>
        </w:rPr>
        <w:t>й</w:t>
      </w:r>
      <w:r w:rsidRPr="007F5C48">
        <w:rPr>
          <w:rFonts w:ascii="Times New Roman" w:hAnsi="Times New Roman"/>
          <w:sz w:val="28"/>
          <w:szCs w:val="28"/>
        </w:rPr>
        <w:t xml:space="preserve"> период;</w:t>
      </w:r>
    </w:p>
    <w:p w:rsidR="00951798" w:rsidRPr="007F5C48" w:rsidRDefault="00951798" w:rsidP="008F4E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 xml:space="preserve"> - </w:t>
      </w:r>
      <w:r w:rsidR="008F4EB7" w:rsidRPr="007F5C48">
        <w:rPr>
          <w:rFonts w:ascii="Times New Roman" w:hAnsi="Times New Roman"/>
          <w:sz w:val="28"/>
          <w:szCs w:val="28"/>
        </w:rPr>
        <w:t>отчета о финансовых результатах</w:t>
      </w:r>
      <w:r w:rsidRPr="007F5C48">
        <w:rPr>
          <w:rFonts w:ascii="Times New Roman" w:hAnsi="Times New Roman"/>
          <w:sz w:val="28"/>
          <w:szCs w:val="28"/>
        </w:rPr>
        <w:t xml:space="preserve"> за </w:t>
      </w:r>
      <w:r w:rsidR="00F22B6A" w:rsidRPr="007F5C48">
        <w:rPr>
          <w:rFonts w:ascii="Times New Roman" w:hAnsi="Times New Roman"/>
          <w:sz w:val="28"/>
          <w:szCs w:val="28"/>
        </w:rPr>
        <w:t>соответствующий отчетный период</w:t>
      </w:r>
      <w:r w:rsidRPr="007F5C48">
        <w:rPr>
          <w:rFonts w:ascii="Times New Roman" w:hAnsi="Times New Roman"/>
          <w:sz w:val="28"/>
          <w:szCs w:val="28"/>
        </w:rPr>
        <w:t>;</w:t>
      </w:r>
    </w:p>
    <w:p w:rsidR="008F4EB7" w:rsidRPr="007F5C48" w:rsidRDefault="00951798" w:rsidP="008F4E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 xml:space="preserve"> - </w:t>
      </w:r>
      <w:r w:rsidR="008F4EB7" w:rsidRPr="007F5C48">
        <w:rPr>
          <w:rFonts w:ascii="Times New Roman" w:hAnsi="Times New Roman"/>
          <w:sz w:val="28"/>
          <w:szCs w:val="28"/>
        </w:rPr>
        <w:t xml:space="preserve">отчета об изменении капитала за </w:t>
      </w:r>
      <w:r w:rsidR="00F22B6A" w:rsidRPr="007F5C48">
        <w:rPr>
          <w:rFonts w:ascii="Times New Roman" w:hAnsi="Times New Roman"/>
          <w:sz w:val="28"/>
          <w:szCs w:val="28"/>
        </w:rPr>
        <w:t>соответствующий отчетный период</w:t>
      </w:r>
      <w:r w:rsidR="008F4EB7" w:rsidRPr="007F5C48">
        <w:rPr>
          <w:rFonts w:ascii="Times New Roman" w:hAnsi="Times New Roman"/>
          <w:sz w:val="28"/>
          <w:szCs w:val="28"/>
        </w:rPr>
        <w:t>.</w:t>
      </w:r>
    </w:p>
    <w:p w:rsidR="000074CA" w:rsidRPr="007F5C48" w:rsidRDefault="000311A7" w:rsidP="003E04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 xml:space="preserve">5.2 </w:t>
      </w:r>
      <w:r w:rsidR="003048D1" w:rsidRPr="007F5C48">
        <w:rPr>
          <w:rFonts w:ascii="Times New Roman" w:hAnsi="Times New Roman"/>
          <w:sz w:val="28"/>
          <w:szCs w:val="28"/>
        </w:rPr>
        <w:t xml:space="preserve">В целях оценки результатов достижения ключевых показателей экономической эффективности деятельности за год предприятие не </w:t>
      </w:r>
      <w:proofErr w:type="gramStart"/>
      <w:r w:rsidR="003048D1" w:rsidRPr="007F5C48">
        <w:rPr>
          <w:rFonts w:ascii="Times New Roman" w:hAnsi="Times New Roman"/>
          <w:sz w:val="28"/>
          <w:szCs w:val="28"/>
        </w:rPr>
        <w:t>позднее  30</w:t>
      </w:r>
      <w:proofErr w:type="gramEnd"/>
      <w:r w:rsidR="003048D1" w:rsidRPr="007F5C48">
        <w:rPr>
          <w:rFonts w:ascii="Times New Roman" w:hAnsi="Times New Roman"/>
          <w:sz w:val="28"/>
          <w:szCs w:val="28"/>
        </w:rPr>
        <w:t xml:space="preserve"> мая года, следующего за отчетным, предоставляет в Министерство заверенные копии</w:t>
      </w:r>
      <w:r w:rsidR="000074CA" w:rsidRPr="007F5C48">
        <w:rPr>
          <w:rFonts w:ascii="Times New Roman" w:hAnsi="Times New Roman"/>
          <w:sz w:val="28"/>
          <w:szCs w:val="28"/>
        </w:rPr>
        <w:t>:</w:t>
      </w:r>
    </w:p>
    <w:p w:rsidR="000074CA" w:rsidRPr="007F5C48" w:rsidRDefault="000074CA" w:rsidP="000074CA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 xml:space="preserve"> - утвержденных </w:t>
      </w:r>
      <w:r w:rsidR="00F22B6A" w:rsidRPr="007F5C48">
        <w:rPr>
          <w:rFonts w:ascii="Times New Roman" w:hAnsi="Times New Roman"/>
          <w:sz w:val="28"/>
          <w:szCs w:val="28"/>
        </w:rPr>
        <w:t xml:space="preserve">министерством имущественных и земельных отношений Рязанской области </w:t>
      </w:r>
      <w:r w:rsidRPr="007F5C48">
        <w:rPr>
          <w:rFonts w:ascii="Times New Roman" w:hAnsi="Times New Roman"/>
          <w:sz w:val="28"/>
          <w:szCs w:val="28"/>
        </w:rPr>
        <w:t>показателей экономической эффективности деятельности предприятий на отчетный год;</w:t>
      </w:r>
    </w:p>
    <w:p w:rsidR="000074CA" w:rsidRPr="007F5C48" w:rsidRDefault="000074CA" w:rsidP="000074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 xml:space="preserve"> - отчета о финансовых результатах за отчетный год;</w:t>
      </w:r>
    </w:p>
    <w:p w:rsidR="000074CA" w:rsidRPr="007F5C48" w:rsidRDefault="000074CA" w:rsidP="000074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 xml:space="preserve"> - отчета об изменении капитала за отчетный год;</w:t>
      </w:r>
    </w:p>
    <w:p w:rsidR="008F4EB7" w:rsidRPr="007F5C48" w:rsidRDefault="000074CA" w:rsidP="000074CA">
      <w:pPr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 xml:space="preserve">           - </w:t>
      </w:r>
      <w:r w:rsidR="001A6530" w:rsidRPr="007F5C48">
        <w:rPr>
          <w:rFonts w:ascii="Times New Roman" w:hAnsi="Times New Roman"/>
          <w:sz w:val="28"/>
          <w:szCs w:val="28"/>
        </w:rPr>
        <w:t>платежного поручения о перечислении части прибыли в областной бюджет</w:t>
      </w:r>
      <w:r w:rsidR="00872A55" w:rsidRPr="007F5C48">
        <w:rPr>
          <w:rFonts w:ascii="Times New Roman" w:hAnsi="Times New Roman"/>
          <w:sz w:val="28"/>
          <w:szCs w:val="28"/>
        </w:rPr>
        <w:t xml:space="preserve"> за отчетный год</w:t>
      </w:r>
      <w:r w:rsidR="001A6530" w:rsidRPr="007F5C48">
        <w:rPr>
          <w:rFonts w:ascii="Times New Roman" w:hAnsi="Times New Roman"/>
          <w:sz w:val="28"/>
          <w:szCs w:val="28"/>
        </w:rPr>
        <w:t>.</w:t>
      </w:r>
    </w:p>
    <w:p w:rsidR="00FC6E1B" w:rsidRPr="007F5C48" w:rsidRDefault="000F3F31" w:rsidP="007F49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>5.</w:t>
      </w:r>
      <w:r w:rsidR="000311A7" w:rsidRPr="007F5C48">
        <w:rPr>
          <w:rFonts w:ascii="Times New Roman" w:hAnsi="Times New Roman"/>
          <w:sz w:val="28"/>
          <w:szCs w:val="28"/>
        </w:rPr>
        <w:t>3</w:t>
      </w:r>
      <w:r w:rsidRPr="007F5C48">
        <w:rPr>
          <w:rFonts w:ascii="Times New Roman" w:hAnsi="Times New Roman"/>
          <w:sz w:val="28"/>
          <w:szCs w:val="28"/>
        </w:rPr>
        <w:t xml:space="preserve"> </w:t>
      </w:r>
      <w:r w:rsidR="00FC6E1B" w:rsidRPr="007F5C48">
        <w:rPr>
          <w:rFonts w:ascii="Times New Roman" w:hAnsi="Times New Roman"/>
          <w:sz w:val="28"/>
          <w:szCs w:val="28"/>
        </w:rPr>
        <w:t>Документы, предусмотренные пунктами 5.1 и 5.2 настоящих Условий, рассматриваются Министерством в течение 20 рабочих дней со дня их предоставления.</w:t>
      </w:r>
    </w:p>
    <w:p w:rsidR="00FC6E1B" w:rsidRPr="007F5C48" w:rsidRDefault="00FC6E1B" w:rsidP="007F49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lastRenderedPageBreak/>
        <w:t>Документы, предоставленные с нарушением сроков, указанных в пунктах 5.1 и 5.2 настоящих Условий, оста</w:t>
      </w:r>
      <w:r w:rsidR="00872A55" w:rsidRPr="007F5C48">
        <w:rPr>
          <w:rFonts w:ascii="Times New Roman" w:hAnsi="Times New Roman"/>
          <w:sz w:val="28"/>
          <w:szCs w:val="28"/>
        </w:rPr>
        <w:t>ю</w:t>
      </w:r>
      <w:r w:rsidRPr="007F5C48">
        <w:rPr>
          <w:rFonts w:ascii="Times New Roman" w:hAnsi="Times New Roman"/>
          <w:sz w:val="28"/>
          <w:szCs w:val="28"/>
        </w:rPr>
        <w:t>тся без рассмотрения.</w:t>
      </w:r>
    </w:p>
    <w:p w:rsidR="00FB58C3" w:rsidRPr="007F5C48" w:rsidRDefault="000F3F31" w:rsidP="007F49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>5.</w:t>
      </w:r>
      <w:r w:rsidR="007B4016" w:rsidRPr="007F5C48">
        <w:rPr>
          <w:rFonts w:ascii="Times New Roman" w:hAnsi="Times New Roman"/>
          <w:sz w:val="28"/>
          <w:szCs w:val="28"/>
        </w:rPr>
        <w:t>4</w:t>
      </w:r>
      <w:r w:rsidRPr="007F5C48">
        <w:rPr>
          <w:rFonts w:ascii="Times New Roman" w:hAnsi="Times New Roman"/>
          <w:sz w:val="28"/>
          <w:szCs w:val="28"/>
        </w:rPr>
        <w:t xml:space="preserve"> </w:t>
      </w:r>
      <w:r w:rsidR="00FB58C3" w:rsidRPr="007F5C48">
        <w:rPr>
          <w:rFonts w:ascii="Times New Roman" w:hAnsi="Times New Roman"/>
          <w:sz w:val="28"/>
          <w:szCs w:val="28"/>
        </w:rPr>
        <w:t>По итогам оценк</w:t>
      </w:r>
      <w:r w:rsidR="009834E9" w:rsidRPr="007F5C48">
        <w:rPr>
          <w:rFonts w:ascii="Times New Roman" w:hAnsi="Times New Roman"/>
          <w:sz w:val="28"/>
          <w:szCs w:val="28"/>
        </w:rPr>
        <w:t>и результатов</w:t>
      </w:r>
      <w:r w:rsidR="00FB58C3" w:rsidRPr="007F5C48">
        <w:rPr>
          <w:rFonts w:ascii="Times New Roman" w:hAnsi="Times New Roman"/>
          <w:sz w:val="28"/>
          <w:szCs w:val="28"/>
        </w:rPr>
        <w:t xml:space="preserve"> достижения ключевых показателей экономической эффективности деятельности предприяти</w:t>
      </w:r>
      <w:r w:rsidR="00DC11FF" w:rsidRPr="007F5C48">
        <w:rPr>
          <w:rFonts w:ascii="Times New Roman" w:hAnsi="Times New Roman"/>
          <w:sz w:val="28"/>
          <w:szCs w:val="28"/>
        </w:rPr>
        <w:t>я</w:t>
      </w:r>
      <w:r w:rsidR="00FB58C3" w:rsidRPr="007F5C48">
        <w:rPr>
          <w:rFonts w:ascii="Times New Roman" w:hAnsi="Times New Roman"/>
          <w:sz w:val="28"/>
          <w:szCs w:val="28"/>
        </w:rPr>
        <w:t xml:space="preserve"> </w:t>
      </w:r>
      <w:r w:rsidR="00D1315D" w:rsidRPr="007F5C48">
        <w:rPr>
          <w:rFonts w:ascii="Times New Roman" w:hAnsi="Times New Roman"/>
          <w:sz w:val="28"/>
          <w:szCs w:val="28"/>
        </w:rPr>
        <w:t>М</w:t>
      </w:r>
      <w:r w:rsidR="00FB58C3" w:rsidRPr="007F5C48">
        <w:rPr>
          <w:rFonts w:ascii="Times New Roman" w:hAnsi="Times New Roman"/>
          <w:sz w:val="28"/>
          <w:szCs w:val="28"/>
        </w:rPr>
        <w:t xml:space="preserve">инистерство </w:t>
      </w:r>
      <w:r w:rsidR="00D91A90" w:rsidRPr="007F5C48">
        <w:rPr>
          <w:rFonts w:ascii="Times New Roman" w:hAnsi="Times New Roman"/>
          <w:sz w:val="28"/>
          <w:szCs w:val="28"/>
        </w:rPr>
        <w:t xml:space="preserve">производит </w:t>
      </w:r>
      <w:r w:rsidR="00FB58C3" w:rsidRPr="007F5C48">
        <w:rPr>
          <w:rFonts w:ascii="Times New Roman" w:hAnsi="Times New Roman"/>
          <w:sz w:val="28"/>
          <w:szCs w:val="28"/>
        </w:rPr>
        <w:t>рас</w:t>
      </w:r>
      <w:r w:rsidR="00D91A90" w:rsidRPr="007F5C48">
        <w:rPr>
          <w:rFonts w:ascii="Times New Roman" w:hAnsi="Times New Roman"/>
          <w:sz w:val="28"/>
          <w:szCs w:val="28"/>
        </w:rPr>
        <w:t>чет</w:t>
      </w:r>
      <w:r w:rsidR="00FB58C3" w:rsidRPr="007F5C48">
        <w:rPr>
          <w:rFonts w:ascii="Times New Roman" w:hAnsi="Times New Roman"/>
          <w:sz w:val="28"/>
          <w:szCs w:val="28"/>
        </w:rPr>
        <w:t xml:space="preserve"> коэффициент</w:t>
      </w:r>
      <w:r w:rsidR="00D91A90" w:rsidRPr="007F5C48">
        <w:rPr>
          <w:rFonts w:ascii="Times New Roman" w:hAnsi="Times New Roman"/>
          <w:sz w:val="28"/>
          <w:szCs w:val="28"/>
        </w:rPr>
        <w:t>а</w:t>
      </w:r>
      <w:r w:rsidR="00FB58C3" w:rsidRPr="007F5C48">
        <w:rPr>
          <w:rFonts w:ascii="Times New Roman" w:hAnsi="Times New Roman"/>
          <w:sz w:val="28"/>
          <w:szCs w:val="28"/>
        </w:rPr>
        <w:t xml:space="preserve"> достижения ключевых показателей экономической эффективности деятельности</w:t>
      </w:r>
      <w:r w:rsidR="00872A55" w:rsidRPr="007F5C48">
        <w:rPr>
          <w:rFonts w:ascii="Times New Roman" w:hAnsi="Times New Roman"/>
          <w:sz w:val="28"/>
          <w:szCs w:val="28"/>
        </w:rPr>
        <w:t xml:space="preserve"> за отчетный период</w:t>
      </w:r>
      <w:r w:rsidR="00FB58C3" w:rsidRPr="007F5C48">
        <w:rPr>
          <w:rFonts w:ascii="Times New Roman" w:hAnsi="Times New Roman"/>
          <w:sz w:val="28"/>
          <w:szCs w:val="28"/>
        </w:rPr>
        <w:t>:</w:t>
      </w:r>
    </w:p>
    <w:p w:rsidR="009834E9" w:rsidRPr="007F5C48" w:rsidRDefault="009834E9" w:rsidP="007F496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58C3" w:rsidRPr="007F5C48" w:rsidRDefault="00FB58C3" w:rsidP="00FB58C3">
      <w:pPr>
        <w:jc w:val="center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>К</w:t>
      </w:r>
      <w:r w:rsidR="00F15081" w:rsidRPr="007F5C48">
        <w:rPr>
          <w:rFonts w:ascii="Times New Roman" w:hAnsi="Times New Roman"/>
          <w:sz w:val="28"/>
          <w:szCs w:val="28"/>
        </w:rPr>
        <w:t>ПЭ</w:t>
      </w:r>
      <w:r w:rsidRPr="007F5C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5C48">
        <w:rPr>
          <w:rFonts w:ascii="Times New Roman" w:hAnsi="Times New Roman"/>
          <w:sz w:val="28"/>
          <w:szCs w:val="28"/>
        </w:rPr>
        <w:t>=</w:t>
      </w:r>
      <w:r w:rsidR="009834E9" w:rsidRPr="007F5C48">
        <w:rPr>
          <w:rFonts w:ascii="Times New Roman" w:hAnsi="Times New Roman"/>
          <w:sz w:val="28"/>
          <w:szCs w:val="28"/>
        </w:rPr>
        <w:t>(</w:t>
      </w:r>
      <w:proofErr w:type="gramEnd"/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Ki</m:t>
            </m:r>
          </m:e>
        </m:nary>
      </m:oMath>
      <w:r w:rsidR="009834E9" w:rsidRPr="007F5C48">
        <w:rPr>
          <w:rFonts w:ascii="Times New Roman" w:hAnsi="Times New Roman"/>
          <w:sz w:val="28"/>
          <w:szCs w:val="28"/>
        </w:rPr>
        <w:t>)</w:t>
      </w:r>
      <w:r w:rsidRPr="007F5C48">
        <w:rPr>
          <w:rFonts w:ascii="Times New Roman" w:hAnsi="Times New Roman"/>
          <w:sz w:val="28"/>
          <w:szCs w:val="28"/>
        </w:rPr>
        <w:t>*100, где</w:t>
      </w:r>
    </w:p>
    <w:p w:rsidR="00FB58C3" w:rsidRPr="007F5C48" w:rsidRDefault="00FB58C3" w:rsidP="00FB58C3">
      <w:pPr>
        <w:jc w:val="center"/>
        <w:rPr>
          <w:rFonts w:ascii="Times New Roman" w:hAnsi="Times New Roman"/>
          <w:sz w:val="28"/>
          <w:szCs w:val="28"/>
        </w:rPr>
      </w:pPr>
    </w:p>
    <w:p w:rsidR="00FB58C3" w:rsidRPr="007F5C48" w:rsidRDefault="00FB58C3" w:rsidP="003E04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>К</w:t>
      </w:r>
      <w:r w:rsidR="00F15081" w:rsidRPr="007F5C48">
        <w:rPr>
          <w:rFonts w:ascii="Times New Roman" w:hAnsi="Times New Roman"/>
          <w:sz w:val="28"/>
          <w:szCs w:val="28"/>
        </w:rPr>
        <w:t>ПЭ</w:t>
      </w:r>
      <w:r w:rsidRPr="007F5C48">
        <w:rPr>
          <w:rFonts w:ascii="Times New Roman" w:hAnsi="Times New Roman"/>
          <w:sz w:val="28"/>
          <w:szCs w:val="28"/>
        </w:rPr>
        <w:t xml:space="preserve"> - коэффициент достижения ключевых показателей экономической эффективности деятельности предприяти</w:t>
      </w:r>
      <w:r w:rsidR="00F15081" w:rsidRPr="007F5C48">
        <w:rPr>
          <w:rFonts w:ascii="Times New Roman" w:hAnsi="Times New Roman"/>
          <w:sz w:val="28"/>
          <w:szCs w:val="28"/>
        </w:rPr>
        <w:t>я</w:t>
      </w:r>
      <w:r w:rsidR="008F7E5A" w:rsidRPr="007F5C48">
        <w:rPr>
          <w:rFonts w:ascii="Times New Roman" w:hAnsi="Times New Roman"/>
          <w:sz w:val="28"/>
          <w:szCs w:val="28"/>
        </w:rPr>
        <w:t xml:space="preserve"> за отчетный период</w:t>
      </w:r>
      <w:r w:rsidR="00F15081" w:rsidRPr="007F5C48">
        <w:rPr>
          <w:rFonts w:ascii="Times New Roman" w:hAnsi="Times New Roman"/>
          <w:sz w:val="28"/>
          <w:szCs w:val="28"/>
        </w:rPr>
        <w:t>, %</w:t>
      </w:r>
      <w:r w:rsidR="003E042F" w:rsidRPr="007F5C48">
        <w:rPr>
          <w:rFonts w:ascii="Times New Roman" w:hAnsi="Times New Roman"/>
          <w:sz w:val="28"/>
          <w:szCs w:val="28"/>
        </w:rPr>
        <w:t>;</w:t>
      </w:r>
    </w:p>
    <w:p w:rsidR="00FB58C3" w:rsidRPr="007F5C48" w:rsidRDefault="00FB58C3" w:rsidP="003E04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  <w:lang w:val="en-US"/>
        </w:rPr>
        <w:t>n</w:t>
      </w:r>
      <w:r w:rsidRPr="007F5C48">
        <w:rPr>
          <w:rFonts w:ascii="Times New Roman" w:hAnsi="Times New Roman"/>
          <w:sz w:val="28"/>
          <w:szCs w:val="28"/>
        </w:rPr>
        <w:t xml:space="preserve"> – количество ключевых показателей экономической эффективности деятельности предприятия за отчетный период;</w:t>
      </w:r>
    </w:p>
    <w:p w:rsidR="00FB58C3" w:rsidRPr="007F5C48" w:rsidRDefault="00FB58C3" w:rsidP="003E04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>П</w:t>
      </w:r>
      <w:proofErr w:type="spellStart"/>
      <w:r w:rsidRPr="007F5C4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5C48">
        <w:rPr>
          <w:rFonts w:ascii="Times New Roman" w:hAnsi="Times New Roman"/>
          <w:sz w:val="28"/>
          <w:szCs w:val="28"/>
        </w:rPr>
        <w:t xml:space="preserve"> – базовый </w:t>
      </w:r>
      <w:proofErr w:type="gramStart"/>
      <w:r w:rsidRPr="007F5C48">
        <w:rPr>
          <w:rFonts w:ascii="Times New Roman" w:hAnsi="Times New Roman"/>
          <w:sz w:val="28"/>
          <w:szCs w:val="28"/>
        </w:rPr>
        <w:t xml:space="preserve">размер  </w:t>
      </w:r>
      <w:r w:rsidR="00F15081" w:rsidRPr="007F5C48">
        <w:rPr>
          <w:rFonts w:ascii="Times New Roman" w:hAnsi="Times New Roman"/>
          <w:sz w:val="28"/>
          <w:szCs w:val="28"/>
        </w:rPr>
        <w:t>выплаты</w:t>
      </w:r>
      <w:proofErr w:type="gramEnd"/>
      <w:r w:rsidRPr="007F5C48">
        <w:rPr>
          <w:rFonts w:ascii="Times New Roman" w:hAnsi="Times New Roman"/>
          <w:sz w:val="28"/>
          <w:szCs w:val="28"/>
        </w:rPr>
        <w:t xml:space="preserve"> по результатам достижения предприятием </w:t>
      </w:r>
      <w:proofErr w:type="spellStart"/>
      <w:r w:rsidRPr="007F5C4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5C48">
        <w:rPr>
          <w:rFonts w:ascii="Times New Roman" w:hAnsi="Times New Roman"/>
          <w:sz w:val="28"/>
          <w:szCs w:val="28"/>
        </w:rPr>
        <w:t>-го ключевого показателя экономической эффективности его деятельности за отчетный период;</w:t>
      </w:r>
    </w:p>
    <w:p w:rsidR="00FB58C3" w:rsidRPr="007F5C48" w:rsidRDefault="00FB58C3" w:rsidP="003E04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>К</w:t>
      </w:r>
      <w:proofErr w:type="spellStart"/>
      <w:r w:rsidRPr="007F5C4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5C48">
        <w:rPr>
          <w:rFonts w:ascii="Times New Roman" w:hAnsi="Times New Roman"/>
          <w:sz w:val="28"/>
          <w:szCs w:val="28"/>
        </w:rPr>
        <w:t xml:space="preserve"> – корректирующий коэффициент, определяющий степень выполнения </w:t>
      </w:r>
      <w:proofErr w:type="spellStart"/>
      <w:r w:rsidRPr="007F5C4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5C48">
        <w:rPr>
          <w:rFonts w:ascii="Times New Roman" w:hAnsi="Times New Roman"/>
          <w:sz w:val="28"/>
          <w:szCs w:val="28"/>
        </w:rPr>
        <w:t>-го ключевого показателя экономической эффективности его деятельности за отчетный период.</w:t>
      </w:r>
    </w:p>
    <w:p w:rsidR="00FB58C3" w:rsidRPr="007F5C48" w:rsidRDefault="000F3F31" w:rsidP="007F49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 xml:space="preserve">5.4 </w:t>
      </w:r>
      <w:r w:rsidR="003E042F" w:rsidRPr="007F5C48">
        <w:rPr>
          <w:rFonts w:ascii="Times New Roman" w:hAnsi="Times New Roman"/>
          <w:sz w:val="28"/>
          <w:szCs w:val="28"/>
        </w:rPr>
        <w:t xml:space="preserve">Рассчитанный коэффициент достижения ключевых показателей экономической эффективности деятельности предприятия </w:t>
      </w:r>
      <w:r w:rsidR="008F7E5A" w:rsidRPr="007F5C48"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3E042F" w:rsidRPr="007F5C48">
        <w:rPr>
          <w:rFonts w:ascii="Times New Roman" w:hAnsi="Times New Roman"/>
          <w:sz w:val="28"/>
          <w:szCs w:val="28"/>
        </w:rPr>
        <w:t>доводится министерством до сведения предприятия.</w:t>
      </w:r>
    </w:p>
    <w:p w:rsidR="007F4965" w:rsidRPr="007F5C48" w:rsidRDefault="000F3F31" w:rsidP="007F49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 xml:space="preserve">5.5 </w:t>
      </w:r>
      <w:r w:rsidR="00D91A90" w:rsidRPr="007F5C48">
        <w:rPr>
          <w:rFonts w:ascii="Times New Roman" w:hAnsi="Times New Roman"/>
          <w:sz w:val="28"/>
          <w:szCs w:val="28"/>
        </w:rPr>
        <w:t xml:space="preserve">Предприятие </w:t>
      </w:r>
      <w:r w:rsidR="001D68BC" w:rsidRPr="007F5C48">
        <w:rPr>
          <w:rFonts w:ascii="Times New Roman" w:hAnsi="Times New Roman"/>
          <w:sz w:val="28"/>
          <w:szCs w:val="28"/>
        </w:rPr>
        <w:t>рассчитывает</w:t>
      </w:r>
      <w:r w:rsidR="00D91A90" w:rsidRPr="007F5C48">
        <w:rPr>
          <w:rFonts w:ascii="Times New Roman" w:hAnsi="Times New Roman"/>
          <w:sz w:val="28"/>
          <w:szCs w:val="28"/>
        </w:rPr>
        <w:t xml:space="preserve"> р</w:t>
      </w:r>
      <w:r w:rsidR="007F4965" w:rsidRPr="007F5C48">
        <w:rPr>
          <w:rFonts w:ascii="Times New Roman" w:hAnsi="Times New Roman"/>
          <w:sz w:val="28"/>
          <w:szCs w:val="28"/>
        </w:rPr>
        <w:t xml:space="preserve">азмер выплат стимулирующего характера </w:t>
      </w:r>
      <w:r w:rsidR="00D1315D" w:rsidRPr="007F5C48">
        <w:rPr>
          <w:rFonts w:ascii="Times New Roman" w:hAnsi="Times New Roman"/>
          <w:sz w:val="28"/>
          <w:szCs w:val="28"/>
        </w:rPr>
        <w:t xml:space="preserve">руководителю, заместителям руководителей, главному бухгалтеру </w:t>
      </w:r>
      <w:r w:rsidR="007F4965" w:rsidRPr="007F5C48">
        <w:rPr>
          <w:rFonts w:ascii="Times New Roman" w:hAnsi="Times New Roman"/>
          <w:sz w:val="28"/>
          <w:szCs w:val="28"/>
        </w:rPr>
        <w:t xml:space="preserve">по результатам достижения предприятием ключевых показателей экономической эффективности его деятельности за отчетный период </w:t>
      </w:r>
      <w:r w:rsidR="00D1315D" w:rsidRPr="007F5C48">
        <w:rPr>
          <w:rFonts w:ascii="Times New Roman" w:hAnsi="Times New Roman"/>
          <w:sz w:val="28"/>
          <w:szCs w:val="28"/>
        </w:rPr>
        <w:t>с учетом фактически отработанного времени в соответствующем отчетном периоде</w:t>
      </w:r>
      <w:r w:rsidR="007F4965" w:rsidRPr="007F5C48">
        <w:rPr>
          <w:rFonts w:ascii="Times New Roman" w:hAnsi="Times New Roman"/>
          <w:sz w:val="28"/>
          <w:szCs w:val="28"/>
        </w:rPr>
        <w:t>:</w:t>
      </w:r>
    </w:p>
    <w:p w:rsidR="007F4965" w:rsidRPr="007F5C48" w:rsidRDefault="007F4965" w:rsidP="007F496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4965" w:rsidRPr="007F5C48" w:rsidRDefault="007F4965" w:rsidP="007F4965">
      <w:pPr>
        <w:jc w:val="center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>В</w:t>
      </w:r>
      <w:proofErr w:type="spellStart"/>
      <w:r w:rsidRPr="007F5C4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5C48">
        <w:rPr>
          <w:rFonts w:ascii="Times New Roman" w:hAnsi="Times New Roman"/>
          <w:sz w:val="28"/>
          <w:szCs w:val="28"/>
        </w:rPr>
        <w:t>=</w:t>
      </w:r>
      <w:r w:rsidR="00D91A90" w:rsidRPr="007F5C48">
        <w:rPr>
          <w:rFonts w:ascii="Times New Roman" w:hAnsi="Times New Roman"/>
          <w:sz w:val="28"/>
          <w:szCs w:val="28"/>
        </w:rPr>
        <w:t>КПЭ</w:t>
      </w:r>
      <w:r w:rsidR="00F1050A" w:rsidRPr="007F5C48">
        <w:rPr>
          <w:rFonts w:ascii="Times New Roman" w:hAnsi="Times New Roman"/>
          <w:sz w:val="28"/>
          <w:szCs w:val="28"/>
        </w:rPr>
        <w:t>*</w:t>
      </w:r>
      <w:proofErr w:type="spellStart"/>
      <w:r w:rsidRPr="007F5C48">
        <w:rPr>
          <w:rFonts w:ascii="Times New Roman" w:hAnsi="Times New Roman"/>
          <w:sz w:val="28"/>
          <w:szCs w:val="28"/>
        </w:rPr>
        <w:t>Окл</w:t>
      </w:r>
      <w:r w:rsidR="00D91A90" w:rsidRPr="007F5C4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5C48">
        <w:rPr>
          <w:rFonts w:ascii="Times New Roman" w:hAnsi="Times New Roman"/>
          <w:sz w:val="28"/>
          <w:szCs w:val="28"/>
        </w:rPr>
        <w:t>*</w:t>
      </w:r>
      <w:proofErr w:type="spellStart"/>
      <w:r w:rsidRPr="007F5C48">
        <w:rPr>
          <w:rFonts w:ascii="Times New Roman" w:hAnsi="Times New Roman"/>
          <w:sz w:val="28"/>
          <w:szCs w:val="28"/>
        </w:rPr>
        <w:t>Врфакт</w:t>
      </w:r>
      <w:r w:rsidR="00D91A90" w:rsidRPr="007F5C4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5C48">
        <w:rPr>
          <w:rFonts w:ascii="Times New Roman" w:hAnsi="Times New Roman"/>
          <w:sz w:val="28"/>
          <w:szCs w:val="28"/>
        </w:rPr>
        <w:t>/</w:t>
      </w:r>
      <w:proofErr w:type="spellStart"/>
      <w:r w:rsidRPr="007F5C48">
        <w:rPr>
          <w:rFonts w:ascii="Times New Roman" w:hAnsi="Times New Roman"/>
          <w:sz w:val="28"/>
          <w:szCs w:val="28"/>
        </w:rPr>
        <w:t>Врплан</w:t>
      </w:r>
      <w:proofErr w:type="spellEnd"/>
      <w:r w:rsidRPr="007F5C48">
        <w:rPr>
          <w:rFonts w:ascii="Times New Roman" w:hAnsi="Times New Roman"/>
          <w:sz w:val="28"/>
          <w:szCs w:val="28"/>
        </w:rPr>
        <w:t>, где</w:t>
      </w:r>
    </w:p>
    <w:p w:rsidR="007F4965" w:rsidRPr="007F5C48" w:rsidRDefault="007F4965" w:rsidP="007F4965">
      <w:pPr>
        <w:jc w:val="center"/>
        <w:rPr>
          <w:rFonts w:ascii="Times New Roman" w:hAnsi="Times New Roman"/>
          <w:sz w:val="28"/>
          <w:szCs w:val="28"/>
        </w:rPr>
      </w:pPr>
    </w:p>
    <w:p w:rsidR="007F4965" w:rsidRPr="007F5C48" w:rsidRDefault="007F4965" w:rsidP="002B4DB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>В</w:t>
      </w:r>
      <w:proofErr w:type="spellStart"/>
      <w:r w:rsidRPr="007F5C4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5C48">
        <w:rPr>
          <w:rFonts w:ascii="Times New Roman" w:hAnsi="Times New Roman"/>
          <w:sz w:val="28"/>
          <w:szCs w:val="28"/>
        </w:rPr>
        <w:t xml:space="preserve"> – размер выплаты стимулирующего характера по результатам достижения предприятием ключевых показателей экономической эффективности его деятельности за отчетный период для </w:t>
      </w:r>
      <w:proofErr w:type="spellStart"/>
      <w:r w:rsidRPr="007F5C4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5C48">
        <w:rPr>
          <w:rFonts w:ascii="Times New Roman" w:hAnsi="Times New Roman"/>
          <w:sz w:val="28"/>
          <w:szCs w:val="28"/>
        </w:rPr>
        <w:t>-ого руководителя, заместителя руководителя, главного бухгалтера предприятия, руб.</w:t>
      </w:r>
      <w:r w:rsidR="002B4DB8" w:rsidRPr="007F5C48">
        <w:rPr>
          <w:rFonts w:ascii="Times New Roman" w:hAnsi="Times New Roman"/>
          <w:sz w:val="28"/>
          <w:szCs w:val="28"/>
        </w:rPr>
        <w:t>;</w:t>
      </w:r>
    </w:p>
    <w:p w:rsidR="007F4965" w:rsidRPr="007F5C48" w:rsidRDefault="007F4965" w:rsidP="002B4DB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5C48">
        <w:rPr>
          <w:rFonts w:ascii="Times New Roman" w:hAnsi="Times New Roman"/>
          <w:sz w:val="28"/>
          <w:szCs w:val="28"/>
        </w:rPr>
        <w:t>Окл</w:t>
      </w:r>
      <w:r w:rsidRPr="007F5C4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5C48">
        <w:rPr>
          <w:rFonts w:ascii="Times New Roman" w:hAnsi="Times New Roman"/>
          <w:sz w:val="28"/>
          <w:szCs w:val="28"/>
        </w:rPr>
        <w:t xml:space="preserve"> – </w:t>
      </w:r>
      <w:r w:rsidR="007B4016" w:rsidRPr="007F5C48">
        <w:rPr>
          <w:rFonts w:ascii="Times New Roman" w:hAnsi="Times New Roman"/>
          <w:sz w:val="28"/>
          <w:szCs w:val="28"/>
        </w:rPr>
        <w:t>два</w:t>
      </w:r>
      <w:r w:rsidR="001D7A3E" w:rsidRPr="007F5C48">
        <w:rPr>
          <w:rFonts w:ascii="Times New Roman" w:hAnsi="Times New Roman"/>
          <w:sz w:val="28"/>
          <w:szCs w:val="28"/>
        </w:rPr>
        <w:t xml:space="preserve"> </w:t>
      </w:r>
      <w:r w:rsidRPr="007F5C48">
        <w:rPr>
          <w:rFonts w:ascii="Times New Roman" w:hAnsi="Times New Roman"/>
          <w:sz w:val="28"/>
          <w:szCs w:val="28"/>
        </w:rPr>
        <w:t>должностн</w:t>
      </w:r>
      <w:r w:rsidR="007B4016" w:rsidRPr="007F5C48">
        <w:rPr>
          <w:rFonts w:ascii="Times New Roman" w:hAnsi="Times New Roman"/>
          <w:sz w:val="28"/>
          <w:szCs w:val="28"/>
        </w:rPr>
        <w:t>ых</w:t>
      </w:r>
      <w:r w:rsidRPr="007F5C48">
        <w:rPr>
          <w:rFonts w:ascii="Times New Roman" w:hAnsi="Times New Roman"/>
          <w:sz w:val="28"/>
          <w:szCs w:val="28"/>
        </w:rPr>
        <w:t xml:space="preserve"> оклад</w:t>
      </w:r>
      <w:r w:rsidR="007B4016" w:rsidRPr="007F5C48">
        <w:rPr>
          <w:rFonts w:ascii="Times New Roman" w:hAnsi="Times New Roman"/>
          <w:sz w:val="28"/>
          <w:szCs w:val="28"/>
        </w:rPr>
        <w:t>а</w:t>
      </w:r>
      <w:r w:rsidRPr="007F5C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5C4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5C48">
        <w:rPr>
          <w:rFonts w:ascii="Times New Roman" w:hAnsi="Times New Roman"/>
          <w:sz w:val="28"/>
          <w:szCs w:val="28"/>
        </w:rPr>
        <w:t>-ого руководителя, заместителя руководителя, главного бухгалтера</w:t>
      </w:r>
      <w:r w:rsidR="008F7E5A" w:rsidRPr="007F5C48">
        <w:rPr>
          <w:rFonts w:ascii="Times New Roman" w:hAnsi="Times New Roman"/>
          <w:sz w:val="28"/>
          <w:szCs w:val="28"/>
        </w:rPr>
        <w:t xml:space="preserve"> по состоянию на начало отчетного периода</w:t>
      </w:r>
      <w:r w:rsidRPr="007F5C48">
        <w:rPr>
          <w:rFonts w:ascii="Times New Roman" w:hAnsi="Times New Roman"/>
          <w:sz w:val="28"/>
          <w:szCs w:val="28"/>
        </w:rPr>
        <w:t>, руб./мес.</w:t>
      </w:r>
      <w:r w:rsidR="002B4DB8" w:rsidRPr="007F5C48">
        <w:rPr>
          <w:rFonts w:ascii="Times New Roman" w:hAnsi="Times New Roman"/>
          <w:sz w:val="28"/>
          <w:szCs w:val="28"/>
        </w:rPr>
        <w:t>;</w:t>
      </w:r>
    </w:p>
    <w:p w:rsidR="007F4965" w:rsidRPr="007F5C48" w:rsidRDefault="007F4965" w:rsidP="002B4DB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5C48">
        <w:rPr>
          <w:rFonts w:ascii="Times New Roman" w:hAnsi="Times New Roman"/>
          <w:sz w:val="28"/>
          <w:szCs w:val="28"/>
        </w:rPr>
        <w:t>Врфакт</w:t>
      </w:r>
      <w:proofErr w:type="spellEnd"/>
      <w:r w:rsidRPr="007F5C48">
        <w:rPr>
          <w:rFonts w:ascii="Times New Roman" w:hAnsi="Times New Roman"/>
          <w:sz w:val="28"/>
          <w:szCs w:val="28"/>
        </w:rPr>
        <w:t xml:space="preserve"> – фактически отработанное </w:t>
      </w:r>
      <w:proofErr w:type="spellStart"/>
      <w:r w:rsidRPr="007F5C4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5C48">
        <w:rPr>
          <w:rFonts w:ascii="Times New Roman" w:hAnsi="Times New Roman"/>
          <w:sz w:val="28"/>
          <w:szCs w:val="28"/>
        </w:rPr>
        <w:t xml:space="preserve">-ым руководителем, заместителем руководителя, главным бухгалтером предприятия время в отчетном периоде, </w:t>
      </w:r>
      <w:r w:rsidR="008E088B" w:rsidRPr="007F5C48">
        <w:rPr>
          <w:rFonts w:ascii="Times New Roman" w:hAnsi="Times New Roman"/>
          <w:sz w:val="28"/>
          <w:szCs w:val="28"/>
        </w:rPr>
        <w:t>дн</w:t>
      </w:r>
      <w:r w:rsidR="00F1050A" w:rsidRPr="007F5C48">
        <w:rPr>
          <w:rFonts w:ascii="Times New Roman" w:hAnsi="Times New Roman"/>
          <w:sz w:val="28"/>
          <w:szCs w:val="28"/>
        </w:rPr>
        <w:t>и</w:t>
      </w:r>
      <w:r w:rsidR="002B4DB8" w:rsidRPr="007F5C48">
        <w:rPr>
          <w:rFonts w:ascii="Times New Roman" w:hAnsi="Times New Roman"/>
          <w:sz w:val="28"/>
          <w:szCs w:val="28"/>
        </w:rPr>
        <w:t>;</w:t>
      </w:r>
    </w:p>
    <w:p w:rsidR="007F4965" w:rsidRPr="007F5C48" w:rsidRDefault="007F4965" w:rsidP="002B4DB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5C48">
        <w:rPr>
          <w:rFonts w:ascii="Times New Roman" w:hAnsi="Times New Roman"/>
          <w:sz w:val="28"/>
          <w:szCs w:val="28"/>
        </w:rPr>
        <w:t>Врплан</w:t>
      </w:r>
      <w:proofErr w:type="spellEnd"/>
      <w:r w:rsidRPr="007F5C48">
        <w:rPr>
          <w:rFonts w:ascii="Times New Roman" w:hAnsi="Times New Roman"/>
          <w:sz w:val="28"/>
          <w:szCs w:val="28"/>
        </w:rPr>
        <w:t xml:space="preserve"> – количество рабочих дней в отчетном периоде, определенное в соответствии с производственным календарем</w:t>
      </w:r>
      <w:r w:rsidR="008E088B" w:rsidRPr="007F5C48">
        <w:rPr>
          <w:rFonts w:ascii="Times New Roman" w:hAnsi="Times New Roman"/>
          <w:sz w:val="28"/>
          <w:szCs w:val="28"/>
        </w:rPr>
        <w:t>, дн</w:t>
      </w:r>
      <w:r w:rsidR="00F1050A" w:rsidRPr="007F5C48">
        <w:rPr>
          <w:rFonts w:ascii="Times New Roman" w:hAnsi="Times New Roman"/>
          <w:sz w:val="28"/>
          <w:szCs w:val="28"/>
        </w:rPr>
        <w:t>и</w:t>
      </w:r>
      <w:r w:rsidR="008E088B" w:rsidRPr="007F5C48">
        <w:rPr>
          <w:rFonts w:ascii="Times New Roman" w:hAnsi="Times New Roman"/>
          <w:sz w:val="28"/>
          <w:szCs w:val="28"/>
        </w:rPr>
        <w:t>.</w:t>
      </w:r>
    </w:p>
    <w:p w:rsidR="005A4AA9" w:rsidRPr="007F5C48" w:rsidRDefault="008E7F33" w:rsidP="005A4AA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>Фактически отработанное время в отчетном периоде</w:t>
      </w:r>
      <w:r w:rsidR="005A4AA9" w:rsidRPr="007F5C48">
        <w:rPr>
          <w:rFonts w:ascii="Times New Roman" w:hAnsi="Times New Roman"/>
          <w:sz w:val="28"/>
          <w:szCs w:val="28"/>
        </w:rPr>
        <w:t xml:space="preserve"> не </w:t>
      </w:r>
      <w:r w:rsidRPr="007F5C48">
        <w:rPr>
          <w:rFonts w:ascii="Times New Roman" w:hAnsi="Times New Roman"/>
          <w:sz w:val="28"/>
          <w:szCs w:val="28"/>
        </w:rPr>
        <w:t>включает</w:t>
      </w:r>
      <w:r w:rsidR="005A4AA9" w:rsidRPr="007F5C48">
        <w:rPr>
          <w:rFonts w:ascii="Times New Roman" w:hAnsi="Times New Roman"/>
          <w:sz w:val="28"/>
          <w:szCs w:val="28"/>
        </w:rPr>
        <w:t xml:space="preserve"> период временной нетрудоспособности, нахождени</w:t>
      </w:r>
      <w:r w:rsidR="00E27155" w:rsidRPr="007F5C48">
        <w:rPr>
          <w:rFonts w:ascii="Times New Roman" w:hAnsi="Times New Roman"/>
          <w:sz w:val="28"/>
          <w:szCs w:val="28"/>
        </w:rPr>
        <w:t>е</w:t>
      </w:r>
      <w:r w:rsidR="005A4AA9" w:rsidRPr="007F5C48">
        <w:rPr>
          <w:rFonts w:ascii="Times New Roman" w:hAnsi="Times New Roman"/>
          <w:sz w:val="28"/>
          <w:szCs w:val="28"/>
        </w:rPr>
        <w:t xml:space="preserve"> в отпуске по беременности и </w:t>
      </w:r>
      <w:r w:rsidR="005A4AA9" w:rsidRPr="007F5C48">
        <w:rPr>
          <w:rFonts w:ascii="Times New Roman" w:hAnsi="Times New Roman"/>
          <w:sz w:val="28"/>
          <w:szCs w:val="28"/>
        </w:rPr>
        <w:lastRenderedPageBreak/>
        <w:t>родам, в отпуске по уходу за ребенком, нахождени</w:t>
      </w:r>
      <w:r w:rsidR="00E27155" w:rsidRPr="007F5C48">
        <w:rPr>
          <w:rFonts w:ascii="Times New Roman" w:hAnsi="Times New Roman"/>
          <w:sz w:val="28"/>
          <w:szCs w:val="28"/>
        </w:rPr>
        <w:t>е</w:t>
      </w:r>
      <w:r w:rsidR="005A4AA9" w:rsidRPr="007F5C48">
        <w:rPr>
          <w:rFonts w:ascii="Times New Roman" w:hAnsi="Times New Roman"/>
          <w:sz w:val="28"/>
          <w:szCs w:val="28"/>
        </w:rPr>
        <w:t xml:space="preserve"> в отпуске без сохранения заработной платы.</w:t>
      </w:r>
    </w:p>
    <w:p w:rsidR="007F4965" w:rsidRPr="007F5C48" w:rsidRDefault="007F4965" w:rsidP="007F496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>В случае увольнения руководителей, заместителей руководителей, главных бухгалтеров предприятий до</w:t>
      </w:r>
      <w:r w:rsidR="009834E9" w:rsidRPr="007F5C48">
        <w:rPr>
          <w:rFonts w:ascii="Times New Roman" w:hAnsi="Times New Roman"/>
          <w:sz w:val="28"/>
          <w:szCs w:val="28"/>
        </w:rPr>
        <w:t xml:space="preserve"> расчета</w:t>
      </w:r>
      <w:r w:rsidRPr="007F5C48">
        <w:rPr>
          <w:rFonts w:ascii="Times New Roman" w:hAnsi="Times New Roman"/>
          <w:sz w:val="28"/>
          <w:szCs w:val="28"/>
        </w:rPr>
        <w:t xml:space="preserve"> </w:t>
      </w:r>
      <w:r w:rsidR="009834E9" w:rsidRPr="007F5C48">
        <w:rPr>
          <w:rFonts w:ascii="Times New Roman" w:hAnsi="Times New Roman"/>
          <w:sz w:val="28"/>
          <w:szCs w:val="28"/>
        </w:rPr>
        <w:t>размера выплат стимулирующего характера руководителю, заместителям руководителей, главному бухгалтеру по результатам достижения предприятием ключевых показателей экономической эффективности его деятельности за отчетный период</w:t>
      </w:r>
      <w:r w:rsidR="00F1050A" w:rsidRPr="007F5C48">
        <w:rPr>
          <w:rFonts w:ascii="Times New Roman" w:hAnsi="Times New Roman"/>
          <w:sz w:val="28"/>
          <w:szCs w:val="28"/>
        </w:rPr>
        <w:t>,</w:t>
      </w:r>
      <w:r w:rsidRPr="007F5C48">
        <w:rPr>
          <w:rFonts w:ascii="Times New Roman" w:hAnsi="Times New Roman"/>
          <w:sz w:val="28"/>
          <w:szCs w:val="28"/>
        </w:rPr>
        <w:t xml:space="preserve"> </w:t>
      </w:r>
      <w:r w:rsidR="009834E9" w:rsidRPr="007F5C48">
        <w:rPr>
          <w:rFonts w:ascii="Times New Roman" w:hAnsi="Times New Roman"/>
          <w:sz w:val="28"/>
          <w:szCs w:val="28"/>
        </w:rPr>
        <w:t xml:space="preserve">указанная выплата </w:t>
      </w:r>
      <w:r w:rsidRPr="007F5C48">
        <w:rPr>
          <w:rFonts w:ascii="Times New Roman" w:hAnsi="Times New Roman"/>
          <w:sz w:val="28"/>
          <w:szCs w:val="28"/>
        </w:rPr>
        <w:t>не производятся.</w:t>
      </w:r>
    </w:p>
    <w:p w:rsidR="002E351F" w:rsidRPr="007F5C48" w:rsidRDefault="002E351F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 xml:space="preserve">6. Предельный уровень соотношения среднемесячной заработной платы руководителей, заместителей руководителей, главных бухгалтеров предприятий и среднемесячной заработной платы работников (без учета заработной платы руководителя, заместителей руководителя, главного бухгалтера) предприятий определен в приложении № </w:t>
      </w:r>
      <w:r w:rsidR="00F466C4" w:rsidRPr="007F5C48">
        <w:rPr>
          <w:rFonts w:ascii="Times New Roman" w:hAnsi="Times New Roman"/>
          <w:sz w:val="28"/>
          <w:szCs w:val="28"/>
        </w:rPr>
        <w:t>3</w:t>
      </w:r>
      <w:r w:rsidRPr="007F5C48">
        <w:rPr>
          <w:rFonts w:ascii="Times New Roman" w:hAnsi="Times New Roman"/>
          <w:sz w:val="28"/>
          <w:szCs w:val="28"/>
        </w:rPr>
        <w:t xml:space="preserve"> к Условиям.</w:t>
      </w:r>
    </w:p>
    <w:p w:rsidR="002E351F" w:rsidRPr="007F5C48" w:rsidRDefault="002E351F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>Соотношение среднемесячной заработной платы руководителя, заместителей руководителя, 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руководителя, заместителей руководителя, главного бухгалтера предприятия на среднемесячную заработную плату работников предприятия.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 «Об особенностях порядка исчисления средней заработной платы».</w:t>
      </w:r>
    </w:p>
    <w:p w:rsidR="002E351F" w:rsidRPr="007F5C48" w:rsidRDefault="002E351F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 xml:space="preserve">При установлении условий оплаты труда руководителю, заместителям руководителя, главному бухгалтеру предприятия Министерство должно исходить из необходимости обеспечения </w:t>
      </w:r>
      <w:proofErr w:type="spellStart"/>
      <w:r w:rsidRPr="007F5C48">
        <w:rPr>
          <w:rFonts w:ascii="Times New Roman" w:hAnsi="Times New Roman"/>
          <w:sz w:val="28"/>
          <w:szCs w:val="28"/>
        </w:rPr>
        <w:t>непревышения</w:t>
      </w:r>
      <w:proofErr w:type="spellEnd"/>
      <w:r w:rsidRPr="007F5C48">
        <w:rPr>
          <w:rFonts w:ascii="Times New Roman" w:hAnsi="Times New Roman"/>
          <w:sz w:val="28"/>
          <w:szCs w:val="28"/>
        </w:rPr>
        <w:t xml:space="preserve"> предельного уровня соотношения среднемесячной заработной платы, установленного в соответствии с абзацами первым, вторым настоящего пункта, в случае выполнения предприятием всех показателей экономической эффективности и получения стимулирующих выплат по итогам работы в максимальном размере.</w:t>
      </w:r>
    </w:p>
    <w:p w:rsidR="002E351F" w:rsidRPr="007F5C48" w:rsidRDefault="002E351F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>7. Оплата труда руководителей, заместителей руководителей, главных бухгалтеров предприятий производится в сроки, предусмотренные для выплаты заработной платы всем работникам предприятий, за счет средств предприятия и в порядке, установленном правилами внутреннего трудового распорядка, коллективным договором, трудовым договором.</w:t>
      </w:r>
    </w:p>
    <w:p w:rsidR="002E351F" w:rsidRPr="007F5C48" w:rsidRDefault="002E351F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>8. Руководителям, заместителям руководителей и главным бухгалтерам предприятий за счет и в пределах экономии фонда оплаты труда устанавливаются выплаты социального характера:</w:t>
      </w:r>
    </w:p>
    <w:p w:rsidR="002E351F" w:rsidRPr="007F5C48" w:rsidRDefault="002E351F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>- материальная помощь при предоставлении ежегодного очередного оплачиваемого отпуска один раз в год в размере</w:t>
      </w:r>
      <w:r w:rsidR="00483D44" w:rsidRPr="007F5C48">
        <w:rPr>
          <w:rFonts w:ascii="Times New Roman" w:hAnsi="Times New Roman"/>
          <w:sz w:val="28"/>
          <w:szCs w:val="28"/>
        </w:rPr>
        <w:t xml:space="preserve">, </w:t>
      </w:r>
      <w:r w:rsidR="007B4016" w:rsidRPr="007F5C48">
        <w:rPr>
          <w:rFonts w:ascii="Times New Roman" w:hAnsi="Times New Roman"/>
          <w:sz w:val="28"/>
          <w:szCs w:val="28"/>
        </w:rPr>
        <w:t xml:space="preserve">не превышающем </w:t>
      </w:r>
      <w:r w:rsidRPr="007F5C48">
        <w:rPr>
          <w:rFonts w:ascii="Times New Roman" w:hAnsi="Times New Roman"/>
          <w:sz w:val="28"/>
          <w:szCs w:val="28"/>
        </w:rPr>
        <w:t>двух должностных окладов;</w:t>
      </w:r>
    </w:p>
    <w:p w:rsidR="00F1050A" w:rsidRPr="007F5C48" w:rsidRDefault="002E351F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>- единовременная выплата к профессиональным праздникам</w:t>
      </w:r>
      <w:r w:rsidR="00843AA2" w:rsidRPr="007F5C48">
        <w:rPr>
          <w:rFonts w:ascii="Times New Roman" w:hAnsi="Times New Roman"/>
          <w:sz w:val="28"/>
          <w:szCs w:val="28"/>
        </w:rPr>
        <w:t xml:space="preserve"> </w:t>
      </w:r>
      <w:r w:rsidR="00F1050A" w:rsidRPr="007F5C48">
        <w:rPr>
          <w:rFonts w:ascii="Times New Roman" w:hAnsi="Times New Roman"/>
          <w:sz w:val="28"/>
          <w:szCs w:val="28"/>
        </w:rPr>
        <w:t xml:space="preserve">в размере до одного должностного оклада </w:t>
      </w:r>
    </w:p>
    <w:p w:rsidR="002E351F" w:rsidRPr="007F5C48" w:rsidRDefault="00F1050A" w:rsidP="004A159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A159C" w:rsidRPr="007F5C48">
        <w:rPr>
          <w:rFonts w:ascii="Times New Roman" w:hAnsi="Times New Roman"/>
          <w:sz w:val="28"/>
          <w:szCs w:val="28"/>
        </w:rPr>
        <w:t xml:space="preserve">единовременная выплата к </w:t>
      </w:r>
      <w:r w:rsidR="002E351F" w:rsidRPr="007F5C48">
        <w:rPr>
          <w:rFonts w:ascii="Times New Roman" w:hAnsi="Times New Roman"/>
          <w:sz w:val="28"/>
          <w:szCs w:val="28"/>
        </w:rPr>
        <w:t>государственным праздничным датам</w:t>
      </w:r>
      <w:r w:rsidRPr="007F5C48">
        <w:rPr>
          <w:rFonts w:ascii="Times New Roman" w:hAnsi="Times New Roman"/>
          <w:sz w:val="28"/>
          <w:szCs w:val="28"/>
        </w:rPr>
        <w:t xml:space="preserve"> (</w:t>
      </w:r>
      <w:r w:rsidR="004A159C" w:rsidRPr="007F5C48">
        <w:rPr>
          <w:rFonts w:ascii="Times New Roman" w:eastAsiaTheme="minorHAnsi" w:hAnsi="Times New Roman"/>
          <w:sz w:val="28"/>
          <w:szCs w:val="28"/>
          <w:lang w:eastAsia="en-US"/>
        </w:rPr>
        <w:t>День России</w:t>
      </w:r>
      <w:r w:rsidR="007B4016" w:rsidRPr="007F5C48">
        <w:rPr>
          <w:rFonts w:ascii="Times New Roman" w:eastAsiaTheme="minorHAnsi" w:hAnsi="Times New Roman"/>
          <w:sz w:val="28"/>
          <w:szCs w:val="28"/>
          <w:lang w:eastAsia="en-US"/>
        </w:rPr>
        <w:t>, День народного единства</w:t>
      </w:r>
      <w:r w:rsidR="004A159C" w:rsidRPr="007F5C48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2E351F" w:rsidRPr="007F5C48">
        <w:rPr>
          <w:rFonts w:ascii="Times New Roman" w:hAnsi="Times New Roman"/>
          <w:sz w:val="28"/>
          <w:szCs w:val="28"/>
        </w:rPr>
        <w:t>в размере до одного должностного оклада.</w:t>
      </w:r>
      <w:r w:rsidR="0088049C" w:rsidRPr="007F5C48">
        <w:rPr>
          <w:rFonts w:ascii="Times New Roman" w:hAnsi="Times New Roman"/>
          <w:sz w:val="28"/>
          <w:szCs w:val="28"/>
        </w:rPr>
        <w:t xml:space="preserve"> </w:t>
      </w:r>
    </w:p>
    <w:p w:rsidR="002E351F" w:rsidRPr="007F5C48" w:rsidRDefault="002E351F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 xml:space="preserve">Выплаты социального характера руководителю предприятия производятся в соответствии с </w:t>
      </w:r>
      <w:r w:rsidR="00843AA2" w:rsidRPr="007F5C48">
        <w:rPr>
          <w:rFonts w:ascii="Times New Roman" w:hAnsi="Times New Roman"/>
          <w:sz w:val="28"/>
          <w:szCs w:val="28"/>
        </w:rPr>
        <w:t>приказом Министерства</w:t>
      </w:r>
      <w:r w:rsidR="009834E9" w:rsidRPr="007F5C48">
        <w:rPr>
          <w:rFonts w:ascii="Times New Roman" w:hAnsi="Times New Roman"/>
          <w:sz w:val="28"/>
          <w:szCs w:val="28"/>
        </w:rPr>
        <w:t xml:space="preserve"> на основании личного заявления руководителя предприятия</w:t>
      </w:r>
    </w:p>
    <w:p w:rsidR="002E351F" w:rsidRDefault="002E351F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5C48">
        <w:rPr>
          <w:rFonts w:ascii="Times New Roman" w:hAnsi="Times New Roman"/>
          <w:sz w:val="28"/>
          <w:szCs w:val="28"/>
        </w:rPr>
        <w:t>Выплаты социального характера заместителям руководителя и главному бухгалтеру предприятия устанавливаются приказом руководителя предприятия.</w:t>
      </w:r>
    </w:p>
    <w:p w:rsidR="007B4016" w:rsidRDefault="007B4016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016" w:rsidRDefault="007B4016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016" w:rsidRDefault="007B4016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F89" w:rsidRDefault="00D20F89" w:rsidP="002E35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9D1" w:rsidRDefault="005B79D1" w:rsidP="003907F7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5B79D1" w:rsidTr="005B79D1">
        <w:trPr>
          <w:trHeight w:val="3401"/>
        </w:trPr>
        <w:tc>
          <w:tcPr>
            <w:tcW w:w="5428" w:type="dxa"/>
          </w:tcPr>
          <w:p w:rsidR="005B79D1" w:rsidRDefault="005B79D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200" w:type="dxa"/>
            <w:hideMark/>
          </w:tcPr>
          <w:p w:rsidR="005B79D1" w:rsidRDefault="005B79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B79D1" w:rsidRDefault="005B7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43AA2">
              <w:rPr>
                <w:rFonts w:ascii="Times New Roman" w:hAnsi="Times New Roman"/>
                <w:sz w:val="28"/>
                <w:szCs w:val="28"/>
              </w:rPr>
              <w:t>У</w:t>
            </w:r>
            <w:r w:rsidR="00843AA2" w:rsidRPr="009F1F00">
              <w:rPr>
                <w:rFonts w:ascii="Times New Roman" w:hAnsi="Times New Roman"/>
                <w:sz w:val="28"/>
                <w:szCs w:val="28"/>
              </w:rPr>
              <w:t>словия</w:t>
            </w:r>
            <w:r w:rsidR="00843AA2">
              <w:rPr>
                <w:rFonts w:ascii="Times New Roman" w:hAnsi="Times New Roman"/>
                <w:sz w:val="28"/>
                <w:szCs w:val="28"/>
              </w:rPr>
              <w:t>м</w:t>
            </w:r>
            <w:r w:rsidR="00843AA2" w:rsidRPr="009F1F00">
              <w:rPr>
                <w:rFonts w:ascii="Times New Roman" w:hAnsi="Times New Roman"/>
                <w:sz w:val="28"/>
                <w:szCs w:val="28"/>
              </w:rPr>
              <w:t xml:space="preserve"> оплаты труда руководителей, заместителей руководителя, главных бухгалтеров государственных унитарных предприятий Рязанской области, находящихся в подведомственности министерству топливно-энергетического комплекса и жилищно-коммунального хозяйства Рязанской области</w:t>
            </w:r>
            <w:r>
              <w:rPr>
                <w:rFonts w:ascii="Times New Roman" w:hAnsi="Times New Roman" w:cs="Arial"/>
                <w:bCs/>
                <w:sz w:val="28"/>
                <w:szCs w:val="28"/>
              </w:rPr>
              <w:t xml:space="preserve"> </w:t>
            </w:r>
          </w:p>
        </w:tc>
      </w:tr>
    </w:tbl>
    <w:p w:rsidR="005B79D1" w:rsidRDefault="005B79D1" w:rsidP="005B79D1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466C4" w:rsidRDefault="00843AA2" w:rsidP="005B79D1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  <w:r w:rsidRPr="0026291B">
        <w:rPr>
          <w:rFonts w:ascii="Times New Roman" w:hAnsi="Times New Roman"/>
          <w:sz w:val="28"/>
          <w:szCs w:val="28"/>
        </w:rPr>
        <w:t xml:space="preserve">Должностные оклады </w:t>
      </w:r>
    </w:p>
    <w:p w:rsidR="005B79D1" w:rsidRDefault="00843AA2" w:rsidP="005B79D1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  <w:r w:rsidRPr="0026291B">
        <w:rPr>
          <w:rFonts w:ascii="Times New Roman" w:hAnsi="Times New Roman"/>
          <w:sz w:val="28"/>
          <w:szCs w:val="28"/>
        </w:rPr>
        <w:t xml:space="preserve">заместителей руководителей и главных бухгалтеров </w:t>
      </w:r>
      <w:r w:rsidR="00F466C4">
        <w:rPr>
          <w:rFonts w:ascii="Times New Roman" w:hAnsi="Times New Roman"/>
          <w:sz w:val="28"/>
          <w:szCs w:val="28"/>
        </w:rPr>
        <w:t>предприятий</w:t>
      </w:r>
    </w:p>
    <w:p w:rsidR="005B79D1" w:rsidRDefault="005B79D1" w:rsidP="005B79D1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4"/>
        <w:gridCol w:w="4195"/>
      </w:tblGrid>
      <w:tr w:rsidR="00843AA2" w:rsidRPr="00562078" w:rsidTr="00CE09AF">
        <w:tc>
          <w:tcPr>
            <w:tcW w:w="4784" w:type="dxa"/>
          </w:tcPr>
          <w:p w:rsidR="00843AA2" w:rsidRPr="00562078" w:rsidRDefault="00843AA2" w:rsidP="00CE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078">
              <w:rPr>
                <w:sz w:val="24"/>
                <w:szCs w:val="24"/>
              </w:rPr>
              <w:t>Должность</w:t>
            </w:r>
          </w:p>
        </w:tc>
        <w:tc>
          <w:tcPr>
            <w:tcW w:w="4195" w:type="dxa"/>
          </w:tcPr>
          <w:p w:rsidR="00843AA2" w:rsidRPr="00562078" w:rsidRDefault="00843AA2" w:rsidP="00CE09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 в </w:t>
            </w:r>
            <w:r w:rsidR="00F466C4">
              <w:rPr>
                <w:sz w:val="24"/>
                <w:szCs w:val="24"/>
              </w:rPr>
              <w:t>процентах от должностного оклада руководителя</w:t>
            </w:r>
          </w:p>
        </w:tc>
      </w:tr>
      <w:tr w:rsidR="00843AA2" w:rsidRPr="00562078" w:rsidTr="00CE09AF">
        <w:tc>
          <w:tcPr>
            <w:tcW w:w="4784" w:type="dxa"/>
          </w:tcPr>
          <w:p w:rsidR="00843AA2" w:rsidRPr="00562078" w:rsidRDefault="00F45ED4" w:rsidP="00CE09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4195" w:type="dxa"/>
          </w:tcPr>
          <w:p w:rsidR="00843AA2" w:rsidRPr="007F5C48" w:rsidRDefault="00F0753E" w:rsidP="00CE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7F5C48">
              <w:rPr>
                <w:sz w:val="24"/>
                <w:szCs w:val="24"/>
              </w:rPr>
              <w:t>90</w:t>
            </w:r>
            <w:r w:rsidR="00F466C4" w:rsidRPr="007F5C48">
              <w:rPr>
                <w:sz w:val="24"/>
                <w:szCs w:val="24"/>
              </w:rPr>
              <w:t xml:space="preserve"> %</w:t>
            </w:r>
            <w:r w:rsidR="00F45ED4" w:rsidRPr="007F5C48">
              <w:rPr>
                <w:sz w:val="24"/>
                <w:szCs w:val="24"/>
              </w:rPr>
              <w:t xml:space="preserve"> - 70%</w:t>
            </w:r>
          </w:p>
        </w:tc>
      </w:tr>
      <w:tr w:rsidR="00843AA2" w:rsidRPr="00562078" w:rsidTr="00CE09AF">
        <w:tc>
          <w:tcPr>
            <w:tcW w:w="4784" w:type="dxa"/>
          </w:tcPr>
          <w:p w:rsidR="00843AA2" w:rsidRPr="00562078" w:rsidRDefault="001549F6" w:rsidP="00CE09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43AA2" w:rsidRPr="00562078">
              <w:rPr>
                <w:sz w:val="24"/>
                <w:szCs w:val="24"/>
              </w:rPr>
              <w:t>лавный бухгалтер</w:t>
            </w:r>
          </w:p>
        </w:tc>
        <w:tc>
          <w:tcPr>
            <w:tcW w:w="4195" w:type="dxa"/>
          </w:tcPr>
          <w:p w:rsidR="00843AA2" w:rsidRPr="007F5C48" w:rsidRDefault="001549F6" w:rsidP="00CE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7F5C48">
              <w:rPr>
                <w:sz w:val="24"/>
                <w:szCs w:val="24"/>
              </w:rPr>
              <w:t>90 % - 70%</w:t>
            </w:r>
          </w:p>
        </w:tc>
      </w:tr>
    </w:tbl>
    <w:p w:rsidR="00F466C4" w:rsidRDefault="00F466C4" w:rsidP="005B79D1">
      <w:pPr>
        <w:pStyle w:val="ConsPlusNormal"/>
        <w:ind w:firstLine="540"/>
        <w:jc w:val="both"/>
      </w:pPr>
    </w:p>
    <w:p w:rsidR="00105D83" w:rsidRDefault="00105D83">
      <w:pPr>
        <w:spacing w:after="200" w:line="276" w:lineRule="auto"/>
      </w:pPr>
    </w:p>
    <w:p w:rsidR="00105D83" w:rsidRDefault="00105D83">
      <w:pPr>
        <w:spacing w:after="200" w:line="276" w:lineRule="auto"/>
      </w:pPr>
    </w:p>
    <w:p w:rsidR="00105D83" w:rsidRDefault="00105D83">
      <w:pPr>
        <w:spacing w:after="200" w:line="276" w:lineRule="auto"/>
      </w:pPr>
    </w:p>
    <w:p w:rsidR="00105D83" w:rsidRDefault="00105D83">
      <w:pPr>
        <w:spacing w:after="200" w:line="276" w:lineRule="auto"/>
      </w:pPr>
    </w:p>
    <w:p w:rsidR="00105D83" w:rsidRDefault="00105D83">
      <w:pPr>
        <w:spacing w:after="200" w:line="276" w:lineRule="auto"/>
      </w:pPr>
    </w:p>
    <w:p w:rsidR="00105D83" w:rsidRDefault="00105D83">
      <w:pPr>
        <w:spacing w:after="200" w:line="276" w:lineRule="auto"/>
      </w:pPr>
    </w:p>
    <w:p w:rsidR="00105D83" w:rsidRDefault="00105D83">
      <w:pPr>
        <w:spacing w:after="200" w:line="276" w:lineRule="auto"/>
      </w:pPr>
    </w:p>
    <w:p w:rsidR="00105D83" w:rsidRDefault="00105D83">
      <w:pPr>
        <w:spacing w:after="200" w:line="276" w:lineRule="auto"/>
      </w:pPr>
    </w:p>
    <w:p w:rsidR="00105D83" w:rsidRDefault="00105D83">
      <w:pPr>
        <w:spacing w:after="200" w:line="276" w:lineRule="auto"/>
      </w:pPr>
    </w:p>
    <w:p w:rsidR="00105D83" w:rsidRDefault="00105D83">
      <w:pPr>
        <w:spacing w:after="200" w:line="276" w:lineRule="auto"/>
      </w:pPr>
    </w:p>
    <w:p w:rsidR="00105D83" w:rsidRDefault="00105D83">
      <w:pPr>
        <w:spacing w:after="200" w:line="276" w:lineRule="auto"/>
      </w:pPr>
    </w:p>
    <w:p w:rsidR="00105D83" w:rsidRDefault="00105D83">
      <w:pPr>
        <w:spacing w:after="200" w:line="276" w:lineRule="auto"/>
      </w:pPr>
    </w:p>
    <w:p w:rsidR="00105D83" w:rsidRDefault="00105D83">
      <w:pPr>
        <w:spacing w:after="200" w:line="276" w:lineRule="auto"/>
      </w:pPr>
    </w:p>
    <w:p w:rsidR="00105D83" w:rsidRDefault="00105D83">
      <w:pPr>
        <w:spacing w:after="200" w:line="276" w:lineRule="auto"/>
      </w:pPr>
    </w:p>
    <w:p w:rsidR="00105D83" w:rsidRDefault="00105D83">
      <w:pPr>
        <w:spacing w:after="200" w:line="276" w:lineRule="auto"/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05D83" w:rsidTr="005C3193">
        <w:trPr>
          <w:trHeight w:val="3401"/>
        </w:trPr>
        <w:tc>
          <w:tcPr>
            <w:tcW w:w="5428" w:type="dxa"/>
          </w:tcPr>
          <w:p w:rsidR="00105D83" w:rsidRDefault="00105D83" w:rsidP="005C319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105D83" w:rsidRDefault="00105D83" w:rsidP="005C31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105D83" w:rsidRDefault="00105D83" w:rsidP="005C31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У</w:t>
            </w:r>
            <w:r w:rsidRPr="009F1F00">
              <w:rPr>
                <w:rFonts w:ascii="Times New Roman" w:hAnsi="Times New Roman"/>
                <w:sz w:val="28"/>
                <w:szCs w:val="28"/>
              </w:rPr>
              <w:t>словия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F1F00">
              <w:rPr>
                <w:rFonts w:ascii="Times New Roman" w:hAnsi="Times New Roman"/>
                <w:sz w:val="28"/>
                <w:szCs w:val="28"/>
              </w:rPr>
              <w:t xml:space="preserve"> оплаты труда руководителей, заместителей руководителя, главных бухгалтеров государственных унитарных предприятий Рязанской области, находящихся в подведомственности министерству топливно-энергетического комплекса и жилищно-коммунального хозяйства Рязанской области</w:t>
            </w:r>
            <w:r>
              <w:rPr>
                <w:rFonts w:ascii="Times New Roman" w:hAnsi="Times New Roman" w:cs="Arial"/>
                <w:bCs/>
                <w:sz w:val="28"/>
                <w:szCs w:val="28"/>
              </w:rPr>
              <w:t xml:space="preserve"> </w:t>
            </w:r>
          </w:p>
        </w:tc>
      </w:tr>
    </w:tbl>
    <w:p w:rsidR="00105D83" w:rsidRDefault="00105D83" w:rsidP="00105D83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05D83" w:rsidRDefault="00945D27" w:rsidP="00105D83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945D27">
        <w:rPr>
          <w:rFonts w:ascii="Times New Roman" w:hAnsi="Times New Roman"/>
          <w:sz w:val="28"/>
          <w:szCs w:val="28"/>
        </w:rPr>
        <w:t>Перечень  ключевых</w:t>
      </w:r>
      <w:proofErr w:type="gramEnd"/>
      <w:r w:rsidRPr="00945D27">
        <w:rPr>
          <w:rFonts w:ascii="Times New Roman" w:hAnsi="Times New Roman"/>
          <w:sz w:val="28"/>
          <w:szCs w:val="28"/>
        </w:rPr>
        <w:t xml:space="preserve"> показателей экономической эффективности деятельности предприятий и условия их применения</w:t>
      </w:r>
    </w:p>
    <w:p w:rsidR="00034BFC" w:rsidRDefault="00034BFC" w:rsidP="00105D83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752" w:type="dxa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755"/>
        <w:gridCol w:w="879"/>
        <w:gridCol w:w="1190"/>
        <w:gridCol w:w="1050"/>
        <w:gridCol w:w="1884"/>
        <w:gridCol w:w="3486"/>
      </w:tblGrid>
      <w:tr w:rsidR="00933222" w:rsidRPr="00034BFC" w:rsidTr="00933222">
        <w:trPr>
          <w:trHeight w:val="885"/>
        </w:trPr>
        <w:tc>
          <w:tcPr>
            <w:tcW w:w="508" w:type="dxa"/>
            <w:vMerge w:val="restart"/>
            <w:shd w:val="clear" w:color="auto" w:fill="auto"/>
            <w:vAlign w:val="center"/>
            <w:hideMark/>
          </w:tcPr>
          <w:p w:rsidR="00933222" w:rsidRPr="00034BFC" w:rsidRDefault="00933222" w:rsidP="00034B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4BFC"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:rsidR="00933222" w:rsidRPr="00034BFC" w:rsidRDefault="00933222" w:rsidP="00034B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4BFC">
              <w:rPr>
                <w:rFonts w:ascii="Times New Roman" w:hAnsi="Times New Roman"/>
                <w:b/>
                <w:bCs/>
                <w:color w:val="000000"/>
              </w:rPr>
              <w:t>Наименование ключевого показателя экономической эффективности деятельности предприятий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  <w:hideMark/>
          </w:tcPr>
          <w:p w:rsidR="00933222" w:rsidRDefault="00933222" w:rsidP="00034B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4BFC">
              <w:rPr>
                <w:rFonts w:ascii="Times New Roman" w:hAnsi="Times New Roman"/>
                <w:b/>
                <w:bCs/>
                <w:color w:val="000000"/>
              </w:rPr>
              <w:t>Услов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  <w:p w:rsidR="00933222" w:rsidRPr="00034BFC" w:rsidRDefault="00933222" w:rsidP="00034B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034BFC">
              <w:rPr>
                <w:rFonts w:ascii="Times New Roman" w:hAnsi="Times New Roman"/>
                <w:b/>
                <w:bCs/>
                <w:color w:val="000000"/>
              </w:rPr>
              <w:t>ное</w:t>
            </w:r>
            <w:proofErr w:type="spellEnd"/>
            <w:r w:rsidRPr="00034BF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034BFC">
              <w:rPr>
                <w:rFonts w:ascii="Times New Roman" w:hAnsi="Times New Roman"/>
                <w:b/>
                <w:bCs/>
                <w:color w:val="000000"/>
              </w:rPr>
              <w:t>об</w:t>
            </w:r>
            <w:r w:rsidR="0024711E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034BFC">
              <w:rPr>
                <w:rFonts w:ascii="Times New Roman" w:hAnsi="Times New Roman"/>
                <w:b/>
                <w:bCs/>
                <w:color w:val="000000"/>
              </w:rPr>
              <w:t>зна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034BFC">
              <w:rPr>
                <w:rFonts w:ascii="Times New Roman" w:hAnsi="Times New Roman"/>
                <w:b/>
                <w:bCs/>
                <w:color w:val="000000"/>
              </w:rPr>
              <w:t>чение</w:t>
            </w:r>
            <w:proofErr w:type="spellEnd"/>
            <w:proofErr w:type="gramEnd"/>
          </w:p>
        </w:tc>
        <w:tc>
          <w:tcPr>
            <w:tcW w:w="2240" w:type="dxa"/>
            <w:gridSpan w:val="2"/>
            <w:shd w:val="clear" w:color="auto" w:fill="auto"/>
            <w:vAlign w:val="center"/>
            <w:hideMark/>
          </w:tcPr>
          <w:p w:rsidR="00933222" w:rsidRPr="00034BFC" w:rsidRDefault="00933222" w:rsidP="00034B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4BFC">
              <w:rPr>
                <w:rFonts w:ascii="Times New Roman" w:hAnsi="Times New Roman"/>
                <w:b/>
                <w:bCs/>
                <w:color w:val="000000"/>
              </w:rPr>
              <w:t>Базовый размер выплаты</w:t>
            </w:r>
            <w:r w:rsidR="00425FDF">
              <w:rPr>
                <w:rFonts w:ascii="Times New Roman" w:hAnsi="Times New Roman"/>
                <w:b/>
                <w:bCs/>
                <w:color w:val="000000"/>
              </w:rPr>
              <w:t xml:space="preserve"> за отчетный период</w:t>
            </w:r>
            <w:r w:rsidRPr="00034BFC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034BFC">
              <w:rPr>
                <w:rFonts w:ascii="Times New Roman" w:hAnsi="Times New Roman"/>
                <w:b/>
                <w:bCs/>
                <w:color w:val="000000"/>
              </w:rPr>
              <w:t>Пi</w:t>
            </w:r>
            <w:proofErr w:type="spellEnd"/>
          </w:p>
        </w:tc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933222" w:rsidRPr="00034BFC" w:rsidRDefault="00933222" w:rsidP="00034B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4BFC">
              <w:rPr>
                <w:rFonts w:ascii="Times New Roman" w:hAnsi="Times New Roman"/>
                <w:b/>
                <w:bCs/>
                <w:color w:val="000000"/>
              </w:rPr>
              <w:t>Значение корректи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р</w:t>
            </w:r>
            <w:r w:rsidRPr="00034BFC">
              <w:rPr>
                <w:rFonts w:ascii="Times New Roman" w:hAnsi="Times New Roman"/>
                <w:b/>
                <w:bCs/>
                <w:color w:val="000000"/>
              </w:rPr>
              <w:t xml:space="preserve">ующего коэффициента, </w:t>
            </w:r>
            <w:proofErr w:type="spellStart"/>
            <w:r w:rsidRPr="00034BFC">
              <w:rPr>
                <w:rFonts w:ascii="Times New Roman" w:hAnsi="Times New Roman"/>
                <w:b/>
                <w:bCs/>
                <w:color w:val="000000"/>
              </w:rPr>
              <w:t>Кi</w:t>
            </w:r>
            <w:proofErr w:type="spellEnd"/>
          </w:p>
        </w:tc>
        <w:tc>
          <w:tcPr>
            <w:tcW w:w="3486" w:type="dxa"/>
            <w:vMerge w:val="restart"/>
            <w:shd w:val="clear" w:color="auto" w:fill="auto"/>
            <w:vAlign w:val="center"/>
            <w:hideMark/>
          </w:tcPr>
          <w:p w:rsidR="00933222" w:rsidRPr="00034BFC" w:rsidRDefault="00933222" w:rsidP="00034B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4BFC">
              <w:rPr>
                <w:rFonts w:ascii="Times New Roman" w:hAnsi="Times New Roman"/>
                <w:b/>
                <w:bCs/>
                <w:color w:val="000000"/>
              </w:rPr>
              <w:t xml:space="preserve">Условие применение </w:t>
            </w:r>
          </w:p>
        </w:tc>
      </w:tr>
      <w:tr w:rsidR="00933222" w:rsidRPr="00034BFC" w:rsidTr="00933222">
        <w:trPr>
          <w:trHeight w:val="870"/>
        </w:trPr>
        <w:tc>
          <w:tcPr>
            <w:tcW w:w="508" w:type="dxa"/>
            <w:vMerge/>
            <w:vAlign w:val="center"/>
            <w:hideMark/>
          </w:tcPr>
          <w:p w:rsidR="00933222" w:rsidRPr="00034BFC" w:rsidRDefault="00933222" w:rsidP="00034BF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933222" w:rsidRPr="00034BFC" w:rsidRDefault="00933222" w:rsidP="00034BF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933222" w:rsidRPr="00034BFC" w:rsidRDefault="00933222" w:rsidP="00034BF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33222" w:rsidRDefault="00933222" w:rsidP="00034B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4BFC"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</w:p>
          <w:p w:rsidR="00933222" w:rsidRPr="00034BFC" w:rsidRDefault="00933222" w:rsidP="00034B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4BFC">
              <w:rPr>
                <w:rFonts w:ascii="Times New Roman" w:hAnsi="Times New Roman"/>
                <w:b/>
                <w:bCs/>
                <w:color w:val="000000"/>
              </w:rPr>
              <w:t>квартал, полугодие, 9 месяцев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33222" w:rsidRPr="00034BFC" w:rsidRDefault="00933222" w:rsidP="00034B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34BFC">
              <w:rPr>
                <w:rFonts w:ascii="Times New Roman" w:hAnsi="Times New Roman"/>
                <w:b/>
                <w:bCs/>
                <w:color w:val="000000"/>
              </w:rPr>
              <w:t>год</w:t>
            </w:r>
          </w:p>
        </w:tc>
        <w:tc>
          <w:tcPr>
            <w:tcW w:w="1884" w:type="dxa"/>
            <w:vMerge/>
            <w:vAlign w:val="center"/>
            <w:hideMark/>
          </w:tcPr>
          <w:p w:rsidR="00933222" w:rsidRPr="00034BFC" w:rsidRDefault="00933222" w:rsidP="00034BF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86" w:type="dxa"/>
            <w:vMerge/>
            <w:vAlign w:val="center"/>
            <w:hideMark/>
          </w:tcPr>
          <w:p w:rsidR="00933222" w:rsidRPr="00034BFC" w:rsidRDefault="00933222" w:rsidP="00034BF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34BFC" w:rsidRPr="00034BFC" w:rsidTr="0024711E">
        <w:trPr>
          <w:trHeight w:val="583"/>
        </w:trPr>
        <w:tc>
          <w:tcPr>
            <w:tcW w:w="508" w:type="dxa"/>
            <w:vMerge w:val="restart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Выручка от продажи товаров, продукции, работ, услуг (за вычетом налога на добавленную стоимость, акцизов и других обязательных платежей)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050" w:type="dxa"/>
            <w:vMerge w:val="restart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34BFC">
              <w:rPr>
                <w:rFonts w:ascii="Times New Roman" w:hAnsi="Times New Roman"/>
                <w:color w:val="000000"/>
              </w:rPr>
              <w:t>Вфакт</w:t>
            </w:r>
            <w:proofErr w:type="spellEnd"/>
            <w:r w:rsidRPr="00034BFC">
              <w:rPr>
                <w:rFonts w:ascii="Times New Roman" w:hAnsi="Times New Roman"/>
                <w:color w:val="000000"/>
              </w:rPr>
              <w:t>&gt; =</w:t>
            </w:r>
            <w:proofErr w:type="spellStart"/>
            <w:r w:rsidRPr="00034BFC">
              <w:rPr>
                <w:rFonts w:ascii="Times New Roman" w:hAnsi="Times New Roman"/>
                <w:color w:val="000000"/>
              </w:rPr>
              <w:t>Вплан</w:t>
            </w:r>
            <w:proofErr w:type="spellEnd"/>
          </w:p>
        </w:tc>
      </w:tr>
      <w:tr w:rsidR="00034BFC" w:rsidRPr="00034BFC" w:rsidTr="0024711E">
        <w:trPr>
          <w:trHeight w:val="689"/>
        </w:trPr>
        <w:tc>
          <w:tcPr>
            <w:tcW w:w="508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0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0,95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34BFC">
              <w:rPr>
                <w:rFonts w:ascii="Times New Roman" w:hAnsi="Times New Roman"/>
                <w:color w:val="000000"/>
              </w:rPr>
              <w:t>Вплан</w:t>
            </w:r>
            <w:proofErr w:type="spellEnd"/>
            <w:r w:rsidRPr="00034BFC">
              <w:rPr>
                <w:rFonts w:ascii="Times New Roman" w:hAnsi="Times New Roman"/>
                <w:color w:val="000000"/>
              </w:rPr>
              <w:t>&gt;</w:t>
            </w:r>
            <w:proofErr w:type="spellStart"/>
            <w:r w:rsidRPr="00034BFC">
              <w:rPr>
                <w:rFonts w:ascii="Times New Roman" w:hAnsi="Times New Roman"/>
                <w:color w:val="000000"/>
              </w:rPr>
              <w:t>Вфакт</w:t>
            </w:r>
            <w:proofErr w:type="spellEnd"/>
            <w:proofErr w:type="gramEnd"/>
            <w:r w:rsidRPr="00034BFC">
              <w:rPr>
                <w:rFonts w:ascii="Times New Roman" w:hAnsi="Times New Roman"/>
                <w:color w:val="000000"/>
              </w:rPr>
              <w:t>&gt;=0,95*</w:t>
            </w:r>
            <w:proofErr w:type="spellStart"/>
            <w:r w:rsidRPr="00034BFC">
              <w:rPr>
                <w:rFonts w:ascii="Times New Roman" w:hAnsi="Times New Roman"/>
                <w:color w:val="000000"/>
              </w:rPr>
              <w:t>Вплан</w:t>
            </w:r>
            <w:proofErr w:type="spellEnd"/>
          </w:p>
        </w:tc>
      </w:tr>
      <w:tr w:rsidR="00034BFC" w:rsidRPr="00034BFC" w:rsidTr="0024711E">
        <w:trPr>
          <w:trHeight w:val="766"/>
        </w:trPr>
        <w:tc>
          <w:tcPr>
            <w:tcW w:w="508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0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0,95*</w:t>
            </w:r>
            <w:proofErr w:type="spellStart"/>
            <w:proofErr w:type="gramStart"/>
            <w:r w:rsidRPr="00034BFC">
              <w:rPr>
                <w:rFonts w:ascii="Times New Roman" w:hAnsi="Times New Roman"/>
                <w:color w:val="000000"/>
              </w:rPr>
              <w:t>Вплан</w:t>
            </w:r>
            <w:proofErr w:type="spellEnd"/>
            <w:r w:rsidRPr="00034BFC">
              <w:rPr>
                <w:rFonts w:ascii="Times New Roman" w:hAnsi="Times New Roman"/>
                <w:color w:val="000000"/>
              </w:rPr>
              <w:t>&gt;</w:t>
            </w:r>
            <w:proofErr w:type="spellStart"/>
            <w:r w:rsidRPr="00034BFC">
              <w:rPr>
                <w:rFonts w:ascii="Times New Roman" w:hAnsi="Times New Roman"/>
                <w:color w:val="000000"/>
              </w:rPr>
              <w:t>Вфакт</w:t>
            </w:r>
            <w:proofErr w:type="spellEnd"/>
            <w:proofErr w:type="gramEnd"/>
            <w:r w:rsidRPr="00034BFC">
              <w:rPr>
                <w:rFonts w:ascii="Times New Roman" w:hAnsi="Times New Roman"/>
                <w:color w:val="000000"/>
              </w:rPr>
              <w:t>&gt;=0,90*</w:t>
            </w:r>
            <w:proofErr w:type="spellStart"/>
            <w:r w:rsidRPr="00034BFC">
              <w:rPr>
                <w:rFonts w:ascii="Times New Roman" w:hAnsi="Times New Roman"/>
                <w:color w:val="000000"/>
              </w:rPr>
              <w:t>Вплан</w:t>
            </w:r>
            <w:proofErr w:type="spellEnd"/>
          </w:p>
        </w:tc>
      </w:tr>
      <w:tr w:rsidR="00034BFC" w:rsidRPr="00034BFC" w:rsidTr="0024711E">
        <w:trPr>
          <w:trHeight w:val="499"/>
        </w:trPr>
        <w:tc>
          <w:tcPr>
            <w:tcW w:w="508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0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34BFC">
              <w:rPr>
                <w:rFonts w:ascii="Times New Roman" w:hAnsi="Times New Roman"/>
                <w:color w:val="000000"/>
              </w:rPr>
              <w:t>Вфакт</w:t>
            </w:r>
            <w:proofErr w:type="spellEnd"/>
            <w:r w:rsidRPr="00034BFC">
              <w:rPr>
                <w:rFonts w:ascii="Times New Roman" w:hAnsi="Times New Roman"/>
                <w:color w:val="000000"/>
              </w:rPr>
              <w:t>&lt;</w:t>
            </w:r>
            <w:proofErr w:type="gramEnd"/>
            <w:r w:rsidRPr="00034BFC">
              <w:rPr>
                <w:rFonts w:ascii="Times New Roman" w:hAnsi="Times New Roman"/>
                <w:color w:val="000000"/>
              </w:rPr>
              <w:t>0,90*</w:t>
            </w:r>
            <w:proofErr w:type="spellStart"/>
            <w:r w:rsidRPr="00034BFC">
              <w:rPr>
                <w:rFonts w:ascii="Times New Roman" w:hAnsi="Times New Roman"/>
                <w:color w:val="000000"/>
              </w:rPr>
              <w:t>Вплан</w:t>
            </w:r>
            <w:proofErr w:type="spellEnd"/>
          </w:p>
        </w:tc>
      </w:tr>
      <w:tr w:rsidR="00034BFC" w:rsidRPr="00034BFC" w:rsidTr="0024711E">
        <w:trPr>
          <w:trHeight w:val="255"/>
        </w:trPr>
        <w:tc>
          <w:tcPr>
            <w:tcW w:w="508" w:type="dxa"/>
            <w:vMerge w:val="restart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55" w:type="dxa"/>
            <w:vMerge w:val="restart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Чистая прибыль/убыток</w:t>
            </w:r>
          </w:p>
        </w:tc>
        <w:tc>
          <w:tcPr>
            <w:tcW w:w="879" w:type="dxa"/>
            <w:vMerge w:val="restart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ЧП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050" w:type="dxa"/>
            <w:vMerge w:val="restart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34BFC">
              <w:rPr>
                <w:rFonts w:ascii="Times New Roman" w:hAnsi="Times New Roman"/>
                <w:color w:val="000000"/>
              </w:rPr>
              <w:t>ЧПфакт</w:t>
            </w:r>
            <w:proofErr w:type="spellEnd"/>
            <w:r w:rsidRPr="00034BFC">
              <w:rPr>
                <w:rFonts w:ascii="Times New Roman" w:hAnsi="Times New Roman"/>
                <w:color w:val="000000"/>
              </w:rPr>
              <w:t>&gt; =</w:t>
            </w:r>
            <w:proofErr w:type="spellStart"/>
            <w:r w:rsidRPr="00034BFC">
              <w:rPr>
                <w:rFonts w:ascii="Times New Roman" w:hAnsi="Times New Roman"/>
                <w:color w:val="000000"/>
              </w:rPr>
              <w:t>ЧПплан</w:t>
            </w:r>
            <w:proofErr w:type="spellEnd"/>
          </w:p>
        </w:tc>
      </w:tr>
      <w:tr w:rsidR="00034BFC" w:rsidRPr="00034BFC" w:rsidTr="0024711E">
        <w:trPr>
          <w:trHeight w:val="255"/>
        </w:trPr>
        <w:tc>
          <w:tcPr>
            <w:tcW w:w="508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0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0,95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34BFC">
              <w:rPr>
                <w:rFonts w:ascii="Times New Roman" w:hAnsi="Times New Roman"/>
                <w:color w:val="000000"/>
              </w:rPr>
              <w:t>ЧПплан</w:t>
            </w:r>
            <w:proofErr w:type="spellEnd"/>
            <w:r w:rsidRPr="00034BFC">
              <w:rPr>
                <w:rFonts w:ascii="Times New Roman" w:hAnsi="Times New Roman"/>
                <w:color w:val="000000"/>
              </w:rPr>
              <w:t>&gt;</w:t>
            </w:r>
            <w:proofErr w:type="spellStart"/>
            <w:r w:rsidRPr="00034BFC">
              <w:rPr>
                <w:rFonts w:ascii="Times New Roman" w:hAnsi="Times New Roman"/>
                <w:color w:val="000000"/>
              </w:rPr>
              <w:t>ЧПфакт</w:t>
            </w:r>
            <w:proofErr w:type="spellEnd"/>
            <w:proofErr w:type="gramEnd"/>
            <w:r w:rsidRPr="00034BFC">
              <w:rPr>
                <w:rFonts w:ascii="Times New Roman" w:hAnsi="Times New Roman"/>
                <w:color w:val="000000"/>
              </w:rPr>
              <w:t>&gt;=0,95*</w:t>
            </w:r>
            <w:proofErr w:type="spellStart"/>
            <w:r w:rsidRPr="00034BFC">
              <w:rPr>
                <w:rFonts w:ascii="Times New Roman" w:hAnsi="Times New Roman"/>
                <w:color w:val="000000"/>
              </w:rPr>
              <w:t>ЧПплан</w:t>
            </w:r>
            <w:proofErr w:type="spellEnd"/>
          </w:p>
        </w:tc>
      </w:tr>
      <w:tr w:rsidR="00034BFC" w:rsidRPr="00034BFC" w:rsidTr="0024711E">
        <w:trPr>
          <w:trHeight w:val="255"/>
        </w:trPr>
        <w:tc>
          <w:tcPr>
            <w:tcW w:w="508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0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0,95*</w:t>
            </w:r>
            <w:proofErr w:type="spellStart"/>
            <w:proofErr w:type="gramStart"/>
            <w:r w:rsidRPr="00034BFC">
              <w:rPr>
                <w:rFonts w:ascii="Times New Roman" w:hAnsi="Times New Roman"/>
                <w:color w:val="000000"/>
              </w:rPr>
              <w:t>ЧПплан</w:t>
            </w:r>
            <w:proofErr w:type="spellEnd"/>
            <w:r w:rsidRPr="00034BFC">
              <w:rPr>
                <w:rFonts w:ascii="Times New Roman" w:hAnsi="Times New Roman"/>
                <w:color w:val="000000"/>
              </w:rPr>
              <w:t>&gt;</w:t>
            </w:r>
            <w:proofErr w:type="spellStart"/>
            <w:r w:rsidRPr="00034BFC">
              <w:rPr>
                <w:rFonts w:ascii="Times New Roman" w:hAnsi="Times New Roman"/>
                <w:color w:val="000000"/>
              </w:rPr>
              <w:t>ЧПфакт</w:t>
            </w:r>
            <w:proofErr w:type="spellEnd"/>
            <w:proofErr w:type="gramEnd"/>
            <w:r w:rsidRPr="00034BFC">
              <w:rPr>
                <w:rFonts w:ascii="Times New Roman" w:hAnsi="Times New Roman"/>
                <w:color w:val="000000"/>
              </w:rPr>
              <w:t>&gt;=0,90*</w:t>
            </w:r>
            <w:proofErr w:type="spellStart"/>
            <w:r w:rsidRPr="00034BFC">
              <w:rPr>
                <w:rFonts w:ascii="Times New Roman" w:hAnsi="Times New Roman"/>
                <w:color w:val="000000"/>
              </w:rPr>
              <w:t>ЧПплан</w:t>
            </w:r>
            <w:proofErr w:type="spellEnd"/>
          </w:p>
        </w:tc>
      </w:tr>
      <w:tr w:rsidR="00034BFC" w:rsidRPr="00034BFC" w:rsidTr="0024711E">
        <w:trPr>
          <w:trHeight w:val="255"/>
        </w:trPr>
        <w:tc>
          <w:tcPr>
            <w:tcW w:w="508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0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34BFC">
              <w:rPr>
                <w:rFonts w:ascii="Times New Roman" w:hAnsi="Times New Roman"/>
                <w:color w:val="000000"/>
              </w:rPr>
              <w:t>ЧПфакт</w:t>
            </w:r>
            <w:proofErr w:type="spellEnd"/>
            <w:r w:rsidRPr="00034BFC">
              <w:rPr>
                <w:rFonts w:ascii="Times New Roman" w:hAnsi="Times New Roman"/>
                <w:color w:val="000000"/>
              </w:rPr>
              <w:t>&lt;</w:t>
            </w:r>
            <w:proofErr w:type="gramEnd"/>
            <w:r w:rsidRPr="00034BFC">
              <w:rPr>
                <w:rFonts w:ascii="Times New Roman" w:hAnsi="Times New Roman"/>
                <w:color w:val="000000"/>
              </w:rPr>
              <w:t>0,90*</w:t>
            </w:r>
            <w:proofErr w:type="spellStart"/>
            <w:r w:rsidRPr="00034BFC">
              <w:rPr>
                <w:rFonts w:ascii="Times New Roman" w:hAnsi="Times New Roman"/>
                <w:color w:val="000000"/>
              </w:rPr>
              <w:t>ЧПплан</w:t>
            </w:r>
            <w:proofErr w:type="spellEnd"/>
          </w:p>
        </w:tc>
      </w:tr>
      <w:tr w:rsidR="00034BFC" w:rsidRPr="00034BFC" w:rsidTr="0024711E">
        <w:trPr>
          <w:trHeight w:val="255"/>
        </w:trPr>
        <w:tc>
          <w:tcPr>
            <w:tcW w:w="508" w:type="dxa"/>
            <w:vMerge w:val="restart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55" w:type="dxa"/>
            <w:vMerge w:val="restart"/>
            <w:shd w:val="clear" w:color="auto" w:fill="auto"/>
            <w:noWrap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5C48">
              <w:rPr>
                <w:rFonts w:ascii="Times New Roman" w:hAnsi="Times New Roman"/>
                <w:color w:val="000000"/>
              </w:rPr>
              <w:t>Чистые активы</w:t>
            </w:r>
          </w:p>
        </w:tc>
        <w:tc>
          <w:tcPr>
            <w:tcW w:w="879" w:type="dxa"/>
            <w:vMerge w:val="restart"/>
            <w:shd w:val="clear" w:color="auto" w:fill="auto"/>
            <w:noWrap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5C48">
              <w:rPr>
                <w:rFonts w:ascii="Times New Roman" w:hAnsi="Times New Roman"/>
                <w:color w:val="000000"/>
              </w:rPr>
              <w:t>ЧА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5C48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050" w:type="dxa"/>
            <w:vMerge w:val="restart"/>
            <w:shd w:val="clear" w:color="auto" w:fill="auto"/>
            <w:noWrap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5C48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5C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F5C48">
              <w:rPr>
                <w:rFonts w:ascii="Times New Roman" w:hAnsi="Times New Roman"/>
                <w:color w:val="000000"/>
              </w:rPr>
              <w:t>ЧАфакт</w:t>
            </w:r>
            <w:proofErr w:type="spellEnd"/>
            <w:r w:rsidRPr="007F5C48">
              <w:rPr>
                <w:rFonts w:ascii="Times New Roman" w:hAnsi="Times New Roman"/>
                <w:color w:val="000000"/>
              </w:rPr>
              <w:t>&gt; =</w:t>
            </w:r>
            <w:proofErr w:type="spellStart"/>
            <w:r w:rsidRPr="007F5C48">
              <w:rPr>
                <w:rFonts w:ascii="Times New Roman" w:hAnsi="Times New Roman"/>
                <w:color w:val="000000"/>
              </w:rPr>
              <w:t>ЧАплан</w:t>
            </w:r>
            <w:proofErr w:type="spellEnd"/>
          </w:p>
        </w:tc>
      </w:tr>
      <w:tr w:rsidR="00034BFC" w:rsidRPr="00034BFC" w:rsidTr="0024711E">
        <w:trPr>
          <w:trHeight w:val="255"/>
        </w:trPr>
        <w:tc>
          <w:tcPr>
            <w:tcW w:w="508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034BFC" w:rsidRPr="007F5C48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034BFC" w:rsidRPr="007F5C48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0" w:type="dxa"/>
            <w:vMerge/>
            <w:vAlign w:val="center"/>
            <w:hideMark/>
          </w:tcPr>
          <w:p w:rsidR="00034BFC" w:rsidRPr="007F5C48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034BFC" w:rsidRPr="007F5C48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5C48">
              <w:rPr>
                <w:rFonts w:ascii="Times New Roman" w:hAnsi="Times New Roman"/>
                <w:color w:val="000000"/>
              </w:rPr>
              <w:t>0,95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7F5C48">
              <w:rPr>
                <w:rFonts w:ascii="Times New Roman" w:hAnsi="Times New Roman"/>
                <w:color w:val="000000"/>
              </w:rPr>
              <w:t>ЧАплан</w:t>
            </w:r>
            <w:proofErr w:type="spellEnd"/>
            <w:r w:rsidRPr="007F5C48">
              <w:rPr>
                <w:rFonts w:ascii="Times New Roman" w:hAnsi="Times New Roman"/>
                <w:color w:val="000000"/>
              </w:rPr>
              <w:t>&gt;</w:t>
            </w:r>
            <w:proofErr w:type="spellStart"/>
            <w:r w:rsidRPr="007F5C48">
              <w:rPr>
                <w:rFonts w:ascii="Times New Roman" w:hAnsi="Times New Roman"/>
                <w:color w:val="000000"/>
              </w:rPr>
              <w:t>ЧАфакт</w:t>
            </w:r>
            <w:proofErr w:type="spellEnd"/>
            <w:proofErr w:type="gramEnd"/>
            <w:r w:rsidRPr="007F5C48">
              <w:rPr>
                <w:rFonts w:ascii="Times New Roman" w:hAnsi="Times New Roman"/>
                <w:color w:val="000000"/>
              </w:rPr>
              <w:t>&gt;=0,95*</w:t>
            </w:r>
            <w:proofErr w:type="spellStart"/>
            <w:r w:rsidRPr="007F5C48">
              <w:rPr>
                <w:rFonts w:ascii="Times New Roman" w:hAnsi="Times New Roman"/>
                <w:color w:val="000000"/>
              </w:rPr>
              <w:t>ЧАплан</w:t>
            </w:r>
            <w:proofErr w:type="spellEnd"/>
          </w:p>
        </w:tc>
      </w:tr>
      <w:tr w:rsidR="00034BFC" w:rsidRPr="00034BFC" w:rsidTr="0024711E">
        <w:trPr>
          <w:trHeight w:val="255"/>
        </w:trPr>
        <w:tc>
          <w:tcPr>
            <w:tcW w:w="508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034BFC" w:rsidRPr="007F5C48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034BFC" w:rsidRPr="007F5C48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0" w:type="dxa"/>
            <w:vMerge/>
            <w:vAlign w:val="center"/>
            <w:hideMark/>
          </w:tcPr>
          <w:p w:rsidR="00034BFC" w:rsidRPr="007F5C48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034BFC" w:rsidRPr="007F5C48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5C48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5C48">
              <w:rPr>
                <w:rFonts w:ascii="Times New Roman" w:hAnsi="Times New Roman"/>
                <w:color w:val="000000"/>
              </w:rPr>
              <w:t>0,95*</w:t>
            </w:r>
            <w:proofErr w:type="spellStart"/>
            <w:proofErr w:type="gramStart"/>
            <w:r w:rsidRPr="007F5C48">
              <w:rPr>
                <w:rFonts w:ascii="Times New Roman" w:hAnsi="Times New Roman"/>
                <w:color w:val="000000"/>
              </w:rPr>
              <w:t>ЧАплан</w:t>
            </w:r>
            <w:proofErr w:type="spellEnd"/>
            <w:r w:rsidRPr="007F5C48">
              <w:rPr>
                <w:rFonts w:ascii="Times New Roman" w:hAnsi="Times New Roman"/>
                <w:color w:val="000000"/>
              </w:rPr>
              <w:t>&gt;</w:t>
            </w:r>
            <w:proofErr w:type="spellStart"/>
            <w:r w:rsidRPr="007F5C48">
              <w:rPr>
                <w:rFonts w:ascii="Times New Roman" w:hAnsi="Times New Roman"/>
                <w:color w:val="000000"/>
              </w:rPr>
              <w:t>ЧАфакт</w:t>
            </w:r>
            <w:proofErr w:type="spellEnd"/>
            <w:proofErr w:type="gramEnd"/>
            <w:r w:rsidRPr="007F5C48">
              <w:rPr>
                <w:rFonts w:ascii="Times New Roman" w:hAnsi="Times New Roman"/>
                <w:color w:val="000000"/>
              </w:rPr>
              <w:t>&gt;=0,90*</w:t>
            </w:r>
            <w:proofErr w:type="spellStart"/>
            <w:r w:rsidRPr="007F5C48">
              <w:rPr>
                <w:rFonts w:ascii="Times New Roman" w:hAnsi="Times New Roman"/>
                <w:color w:val="000000"/>
              </w:rPr>
              <w:t>ЧАплан</w:t>
            </w:r>
            <w:proofErr w:type="spellEnd"/>
          </w:p>
        </w:tc>
      </w:tr>
      <w:tr w:rsidR="00034BFC" w:rsidRPr="00034BFC" w:rsidTr="0024711E">
        <w:trPr>
          <w:trHeight w:val="255"/>
        </w:trPr>
        <w:tc>
          <w:tcPr>
            <w:tcW w:w="508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034BFC" w:rsidRPr="007F5C48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034BFC" w:rsidRPr="007F5C48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0" w:type="dxa"/>
            <w:vMerge/>
            <w:vAlign w:val="center"/>
            <w:hideMark/>
          </w:tcPr>
          <w:p w:rsidR="00034BFC" w:rsidRPr="007F5C48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034BFC" w:rsidRPr="007F5C48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5C4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7F5C48">
              <w:rPr>
                <w:rFonts w:ascii="Times New Roman" w:hAnsi="Times New Roman"/>
                <w:color w:val="000000"/>
              </w:rPr>
              <w:t>ЧАфакт</w:t>
            </w:r>
            <w:proofErr w:type="spellEnd"/>
            <w:r w:rsidRPr="007F5C48">
              <w:rPr>
                <w:rFonts w:ascii="Times New Roman" w:hAnsi="Times New Roman"/>
                <w:color w:val="000000"/>
              </w:rPr>
              <w:t>&lt;</w:t>
            </w:r>
            <w:proofErr w:type="gramEnd"/>
            <w:r w:rsidRPr="007F5C48">
              <w:rPr>
                <w:rFonts w:ascii="Times New Roman" w:hAnsi="Times New Roman"/>
                <w:color w:val="000000"/>
              </w:rPr>
              <w:t>0,90*</w:t>
            </w:r>
            <w:proofErr w:type="spellStart"/>
            <w:r w:rsidRPr="007F5C48">
              <w:rPr>
                <w:rFonts w:ascii="Times New Roman" w:hAnsi="Times New Roman"/>
                <w:color w:val="000000"/>
              </w:rPr>
              <w:t>ЧАплан</w:t>
            </w:r>
            <w:proofErr w:type="spellEnd"/>
          </w:p>
        </w:tc>
      </w:tr>
      <w:tr w:rsidR="00034BFC" w:rsidRPr="00034BFC" w:rsidTr="0024711E">
        <w:trPr>
          <w:trHeight w:val="765"/>
        </w:trPr>
        <w:tc>
          <w:tcPr>
            <w:tcW w:w="508" w:type="dxa"/>
            <w:vMerge w:val="restart"/>
            <w:shd w:val="clear" w:color="auto" w:fill="auto"/>
            <w:noWrap/>
            <w:vAlign w:val="center"/>
            <w:hideMark/>
          </w:tcPr>
          <w:p w:rsidR="00034BFC" w:rsidRPr="00034BFC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4BF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5C48">
              <w:rPr>
                <w:rFonts w:ascii="Times New Roman" w:hAnsi="Times New Roman"/>
                <w:color w:val="000000"/>
              </w:rPr>
              <w:t>Часть прибыли, подлежащая перечислению в областной бюджет*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  <w:hideMark/>
          </w:tcPr>
          <w:p w:rsidR="00034BFC" w:rsidRPr="007F5C48" w:rsidRDefault="00485BD0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5C48">
              <w:rPr>
                <w:rFonts w:ascii="Times New Roman" w:hAnsi="Times New Roman"/>
                <w:color w:val="000000"/>
              </w:rPr>
              <w:t>ЧПР</w:t>
            </w:r>
            <w:r w:rsidR="00034BFC" w:rsidRPr="007F5C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center"/>
            <w:hideMark/>
          </w:tcPr>
          <w:p w:rsidR="00034BFC" w:rsidRPr="007F5C48" w:rsidRDefault="003A5833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5C48">
              <w:rPr>
                <w:rFonts w:ascii="Times New Roman" w:hAnsi="Times New Roman"/>
                <w:color w:val="000000"/>
              </w:rPr>
              <w:t>-</w:t>
            </w:r>
            <w:r w:rsidR="00034BFC" w:rsidRPr="007F5C4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50" w:type="dxa"/>
            <w:vMerge w:val="restart"/>
            <w:shd w:val="clear" w:color="auto" w:fill="auto"/>
            <w:noWrap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5C48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5C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5C48">
              <w:rPr>
                <w:rFonts w:ascii="Times New Roman" w:hAnsi="Times New Roman"/>
                <w:color w:val="000000"/>
              </w:rPr>
              <w:t xml:space="preserve">Произведено перечисление в областной бюджет </w:t>
            </w:r>
            <w:r w:rsidR="00485BD0" w:rsidRPr="007F5C48">
              <w:rPr>
                <w:rFonts w:ascii="Times New Roman" w:hAnsi="Times New Roman"/>
                <w:color w:val="000000"/>
              </w:rPr>
              <w:t>ЧПР</w:t>
            </w:r>
            <w:r w:rsidRPr="007F5C48">
              <w:rPr>
                <w:rFonts w:ascii="Times New Roman" w:hAnsi="Times New Roman"/>
                <w:color w:val="000000"/>
              </w:rPr>
              <w:t xml:space="preserve"> в срок, предусмотренный законодательством</w:t>
            </w:r>
          </w:p>
        </w:tc>
      </w:tr>
      <w:tr w:rsidR="00034BFC" w:rsidRPr="00034BFC" w:rsidTr="0024711E">
        <w:trPr>
          <w:trHeight w:val="788"/>
        </w:trPr>
        <w:tc>
          <w:tcPr>
            <w:tcW w:w="508" w:type="dxa"/>
            <w:vMerge/>
            <w:vAlign w:val="center"/>
            <w:hideMark/>
          </w:tcPr>
          <w:p w:rsidR="00034BFC" w:rsidRPr="00034BFC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vMerge/>
            <w:vAlign w:val="center"/>
            <w:hideMark/>
          </w:tcPr>
          <w:p w:rsidR="00034BFC" w:rsidRPr="007F5C48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:rsidR="00034BFC" w:rsidRPr="007F5C48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0" w:type="dxa"/>
            <w:vMerge/>
            <w:vAlign w:val="center"/>
            <w:hideMark/>
          </w:tcPr>
          <w:p w:rsidR="00034BFC" w:rsidRPr="007F5C48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034BFC" w:rsidRPr="007F5C48" w:rsidRDefault="00034BFC" w:rsidP="00034BF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5C4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:rsidR="00034BFC" w:rsidRPr="007F5C48" w:rsidRDefault="00034BFC" w:rsidP="00034BF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5C48">
              <w:rPr>
                <w:rFonts w:ascii="Times New Roman" w:hAnsi="Times New Roman"/>
                <w:color w:val="000000"/>
              </w:rPr>
              <w:t xml:space="preserve">Не произведено перечисление в областной бюджет </w:t>
            </w:r>
            <w:r w:rsidR="00485BD0" w:rsidRPr="007F5C48">
              <w:rPr>
                <w:rFonts w:ascii="Times New Roman" w:hAnsi="Times New Roman"/>
                <w:color w:val="000000"/>
              </w:rPr>
              <w:t>ЧПР</w:t>
            </w:r>
            <w:r w:rsidRPr="007F5C48">
              <w:rPr>
                <w:rFonts w:ascii="Times New Roman" w:hAnsi="Times New Roman"/>
                <w:color w:val="000000"/>
              </w:rPr>
              <w:t xml:space="preserve"> в срок, предусмотренный законодательством</w:t>
            </w:r>
            <w:bookmarkStart w:id="0" w:name="_GoBack"/>
            <w:bookmarkEnd w:id="0"/>
          </w:p>
        </w:tc>
      </w:tr>
    </w:tbl>
    <w:p w:rsidR="00C31ADB" w:rsidRDefault="00C31ADB" w:rsidP="00945D27">
      <w:pPr>
        <w:spacing w:after="200" w:line="276" w:lineRule="auto"/>
        <w:jc w:val="both"/>
      </w:pPr>
    </w:p>
    <w:p w:rsidR="00C31ADB" w:rsidRDefault="00C31ADB" w:rsidP="00945D27">
      <w:pPr>
        <w:spacing w:after="200" w:line="276" w:lineRule="auto"/>
        <w:jc w:val="both"/>
      </w:pPr>
    </w:p>
    <w:p w:rsidR="00105D83" w:rsidRDefault="00105D83" w:rsidP="00945D27">
      <w:pPr>
        <w:spacing w:after="200" w:line="276" w:lineRule="auto"/>
        <w:jc w:val="both"/>
      </w:pPr>
      <w:r w:rsidRPr="00105D83">
        <w:lastRenderedPageBreak/>
        <w:t xml:space="preserve">*часть прибыли предприятия, подлежащая перечислению в областной бюджет в </w:t>
      </w:r>
      <w:r w:rsidR="0019125A">
        <w:t>текущем</w:t>
      </w:r>
      <w:r w:rsidRPr="00105D83">
        <w:t xml:space="preserve"> году по итогам деятельности предприятия за предшествующий</w:t>
      </w:r>
      <w:r w:rsidR="0019125A">
        <w:t xml:space="preserve"> отчетный</w:t>
      </w:r>
      <w:r w:rsidRPr="00105D83">
        <w:t xml:space="preserve"> год</w:t>
      </w:r>
    </w:p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9800"/>
      </w:tblGrid>
      <w:tr w:rsidR="00945D27" w:rsidRPr="00945D27" w:rsidTr="00945D27">
        <w:trPr>
          <w:trHeight w:val="111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D27" w:rsidRPr="00945D27" w:rsidRDefault="00945D27" w:rsidP="00945D2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45D27">
              <w:rPr>
                <w:rFonts w:ascii="Times New Roman" w:hAnsi="Times New Roman"/>
                <w:color w:val="000000"/>
              </w:rPr>
              <w:t>Вфакт</w:t>
            </w:r>
            <w:proofErr w:type="spellEnd"/>
            <w:r w:rsidRPr="00945D27">
              <w:rPr>
                <w:rFonts w:ascii="Times New Roman" w:hAnsi="Times New Roman"/>
                <w:color w:val="000000"/>
              </w:rPr>
              <w:t xml:space="preserve"> - фактическое значение выручки от продажи товаров, продукции, работ, услуг (за вычетом налога на добавленную стоимость, акцизов и других обязательных платежей), определенное на основании данных бухгалтерской отчетности.</w:t>
            </w:r>
          </w:p>
        </w:tc>
      </w:tr>
      <w:tr w:rsidR="00945D27" w:rsidRPr="00945D27" w:rsidTr="00945D27">
        <w:trPr>
          <w:trHeight w:val="57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D27" w:rsidRPr="00945D27" w:rsidRDefault="00945D27" w:rsidP="00945D2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45D27">
              <w:rPr>
                <w:rFonts w:ascii="Times New Roman" w:hAnsi="Times New Roman"/>
                <w:color w:val="000000"/>
              </w:rPr>
              <w:t>ЧПфакт</w:t>
            </w:r>
            <w:proofErr w:type="spellEnd"/>
            <w:r w:rsidRPr="00945D27">
              <w:rPr>
                <w:rFonts w:ascii="Times New Roman" w:hAnsi="Times New Roman"/>
                <w:color w:val="000000"/>
              </w:rPr>
              <w:t xml:space="preserve"> - фактическое значение чистой прибыли (убытка), определенное на основании данных бухгалтерской отчетности.</w:t>
            </w:r>
          </w:p>
        </w:tc>
      </w:tr>
      <w:tr w:rsidR="00945D27" w:rsidRPr="00945D27" w:rsidTr="00945D27">
        <w:trPr>
          <w:trHeight w:val="375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D27" w:rsidRPr="00945D27" w:rsidRDefault="00945D27" w:rsidP="00945D2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45D27">
              <w:rPr>
                <w:rFonts w:ascii="Times New Roman" w:hAnsi="Times New Roman"/>
                <w:color w:val="000000"/>
              </w:rPr>
              <w:t>ЧАфакт</w:t>
            </w:r>
            <w:proofErr w:type="spellEnd"/>
            <w:r w:rsidRPr="00945D27">
              <w:rPr>
                <w:rFonts w:ascii="Times New Roman" w:hAnsi="Times New Roman"/>
                <w:color w:val="000000"/>
              </w:rPr>
              <w:t xml:space="preserve"> - фактическое значение чистых активов, определенное на основании данных бухгалтерской отчетности.</w:t>
            </w:r>
          </w:p>
        </w:tc>
      </w:tr>
      <w:tr w:rsidR="00945D27" w:rsidRPr="00945D27" w:rsidTr="00945D27">
        <w:trPr>
          <w:trHeight w:val="825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D27" w:rsidRPr="00945D27" w:rsidRDefault="00945D27" w:rsidP="00945D2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45D27">
              <w:rPr>
                <w:rFonts w:ascii="Times New Roman" w:hAnsi="Times New Roman"/>
                <w:color w:val="000000"/>
              </w:rPr>
              <w:t>Вплан</w:t>
            </w:r>
            <w:proofErr w:type="spellEnd"/>
            <w:r w:rsidRPr="00945D27">
              <w:rPr>
                <w:rFonts w:ascii="Times New Roman" w:hAnsi="Times New Roman"/>
                <w:color w:val="000000"/>
              </w:rPr>
              <w:t xml:space="preserve"> - плановое значение выручки от продажи товаров, продукции, работ, услуг (за вычетом налога на добавленную стоимость, акцизов и других обязательных платежей), утвержденное в установленном порядке в составе плана финансово-хозяйственной деятельности предприятия.</w:t>
            </w:r>
          </w:p>
        </w:tc>
      </w:tr>
      <w:tr w:rsidR="00945D27" w:rsidRPr="00945D27" w:rsidTr="00945D27">
        <w:trPr>
          <w:trHeight w:val="60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D27" w:rsidRPr="00945D27" w:rsidRDefault="00945D27" w:rsidP="00945D2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45D27">
              <w:rPr>
                <w:rFonts w:ascii="Times New Roman" w:hAnsi="Times New Roman"/>
                <w:color w:val="000000"/>
              </w:rPr>
              <w:t>ЧПплан</w:t>
            </w:r>
            <w:proofErr w:type="spellEnd"/>
            <w:r w:rsidRPr="00945D27">
              <w:rPr>
                <w:rFonts w:ascii="Times New Roman" w:hAnsi="Times New Roman"/>
                <w:color w:val="000000"/>
              </w:rPr>
              <w:t xml:space="preserve"> - плановое значение чистой прибыли (убытка), утвержденное в установленном порядке в составе плана финансово-хозяйственной деятельности предприятия.</w:t>
            </w:r>
          </w:p>
        </w:tc>
      </w:tr>
      <w:tr w:rsidR="00945D27" w:rsidRPr="00945D27" w:rsidTr="00945D27">
        <w:trPr>
          <w:trHeight w:val="510"/>
        </w:trPr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D27" w:rsidRPr="00945D27" w:rsidRDefault="00945D27" w:rsidP="00945D27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45D27">
              <w:rPr>
                <w:rFonts w:ascii="Times New Roman" w:hAnsi="Times New Roman"/>
                <w:color w:val="000000"/>
              </w:rPr>
              <w:t>ЧАплан</w:t>
            </w:r>
            <w:proofErr w:type="spellEnd"/>
            <w:r w:rsidRPr="00945D27">
              <w:rPr>
                <w:rFonts w:ascii="Times New Roman" w:hAnsi="Times New Roman"/>
                <w:color w:val="000000"/>
              </w:rPr>
              <w:t xml:space="preserve"> - плановое значение чистых активов, утвержденное в установленном порядке в составе плана финансово-хозяйственной деятельности предприятия.</w:t>
            </w:r>
          </w:p>
        </w:tc>
      </w:tr>
    </w:tbl>
    <w:p w:rsidR="00105D83" w:rsidRDefault="00105D83" w:rsidP="00105D83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br w:type="page"/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F466C4" w:rsidTr="00CE09AF">
        <w:trPr>
          <w:trHeight w:val="3401"/>
        </w:trPr>
        <w:tc>
          <w:tcPr>
            <w:tcW w:w="5428" w:type="dxa"/>
          </w:tcPr>
          <w:p w:rsidR="00F466C4" w:rsidRDefault="00F466C4" w:rsidP="00CE09A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200" w:type="dxa"/>
            <w:hideMark/>
          </w:tcPr>
          <w:p w:rsidR="00F466C4" w:rsidRDefault="00F466C4" w:rsidP="00CE09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AB5BF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466C4" w:rsidRDefault="00F466C4" w:rsidP="00CE09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У</w:t>
            </w:r>
            <w:r w:rsidRPr="009F1F00">
              <w:rPr>
                <w:rFonts w:ascii="Times New Roman" w:hAnsi="Times New Roman"/>
                <w:sz w:val="28"/>
                <w:szCs w:val="28"/>
              </w:rPr>
              <w:t>словия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F1F00">
              <w:rPr>
                <w:rFonts w:ascii="Times New Roman" w:hAnsi="Times New Roman"/>
                <w:sz w:val="28"/>
                <w:szCs w:val="28"/>
              </w:rPr>
              <w:t xml:space="preserve"> оплаты труда руководителей, заместителей руководителя, главных бухгалтеров государственных унитарных предприятий Рязанской области, находящихся в подведомственности министерству топливно-энергетического комплекса и жилищно-коммунального хозяйства Рязанской области</w:t>
            </w:r>
            <w:r>
              <w:rPr>
                <w:rFonts w:ascii="Times New Roman" w:hAnsi="Times New Roman" w:cs="Arial"/>
                <w:bCs/>
                <w:sz w:val="28"/>
                <w:szCs w:val="28"/>
              </w:rPr>
              <w:t xml:space="preserve"> </w:t>
            </w:r>
          </w:p>
        </w:tc>
      </w:tr>
    </w:tbl>
    <w:p w:rsidR="00F466C4" w:rsidRDefault="00F466C4" w:rsidP="00F466C4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B5BFB" w:rsidRDefault="00AB5BFB" w:rsidP="00F466C4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  <w:r w:rsidRPr="00AB5BFB">
        <w:rPr>
          <w:rFonts w:ascii="Times New Roman" w:hAnsi="Times New Roman"/>
          <w:sz w:val="28"/>
          <w:szCs w:val="28"/>
        </w:rPr>
        <w:t>Предельный уровень</w:t>
      </w:r>
    </w:p>
    <w:p w:rsidR="00F466C4" w:rsidRDefault="00AB5BFB" w:rsidP="00F466C4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  <w:r w:rsidRPr="00AB5BFB">
        <w:rPr>
          <w:rFonts w:ascii="Times New Roman" w:hAnsi="Times New Roman"/>
          <w:sz w:val="28"/>
          <w:szCs w:val="28"/>
        </w:rPr>
        <w:t>соотношения среднемесячной заработной платы руководителей, заместителей руководителей, главных бухгалтеров предприятий и среднемесячной заработной платы работников (без учета заработной платы руководителя, заместителей руководителя, главного бухгалтера) предприятий</w:t>
      </w:r>
      <w:r w:rsidR="00F466C4">
        <w:rPr>
          <w:rFonts w:ascii="Times New Roman" w:hAnsi="Times New Roman"/>
          <w:sz w:val="28"/>
          <w:szCs w:val="28"/>
        </w:rPr>
        <w:t xml:space="preserve"> </w:t>
      </w:r>
    </w:p>
    <w:p w:rsidR="00F466C4" w:rsidRDefault="00F466C4" w:rsidP="00F466C4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4"/>
        <w:gridCol w:w="4195"/>
      </w:tblGrid>
      <w:tr w:rsidR="00AB5BFB" w:rsidRPr="00562078" w:rsidTr="00CE09AF">
        <w:tc>
          <w:tcPr>
            <w:tcW w:w="4784" w:type="dxa"/>
          </w:tcPr>
          <w:p w:rsidR="00AB5BFB" w:rsidRPr="00562078" w:rsidRDefault="00AB5BFB" w:rsidP="00CE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078">
              <w:rPr>
                <w:sz w:val="24"/>
                <w:szCs w:val="24"/>
              </w:rPr>
              <w:t>Должность</w:t>
            </w:r>
          </w:p>
        </w:tc>
        <w:tc>
          <w:tcPr>
            <w:tcW w:w="4195" w:type="dxa"/>
          </w:tcPr>
          <w:p w:rsidR="00AB5BFB" w:rsidRPr="00562078" w:rsidRDefault="00AB5BFB" w:rsidP="00CE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078">
              <w:rPr>
                <w:sz w:val="24"/>
                <w:szCs w:val="24"/>
              </w:rPr>
              <w:t>Предельный коэффициент кратности (уровень соотношения)</w:t>
            </w:r>
          </w:p>
        </w:tc>
      </w:tr>
      <w:tr w:rsidR="00AB5BFB" w:rsidRPr="00562078" w:rsidTr="00CE09AF">
        <w:tc>
          <w:tcPr>
            <w:tcW w:w="4784" w:type="dxa"/>
          </w:tcPr>
          <w:p w:rsidR="00AB5BFB" w:rsidRPr="00562078" w:rsidRDefault="00AB5BFB" w:rsidP="00CE09AF">
            <w:pPr>
              <w:pStyle w:val="ConsPlusNormal"/>
              <w:rPr>
                <w:sz w:val="24"/>
                <w:szCs w:val="24"/>
              </w:rPr>
            </w:pPr>
            <w:r w:rsidRPr="0056207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195" w:type="dxa"/>
          </w:tcPr>
          <w:p w:rsidR="00AB5BFB" w:rsidRPr="00562078" w:rsidRDefault="00AB5BFB" w:rsidP="00CE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078">
              <w:rPr>
                <w:sz w:val="24"/>
                <w:szCs w:val="24"/>
              </w:rPr>
              <w:t>5</w:t>
            </w:r>
          </w:p>
        </w:tc>
      </w:tr>
      <w:tr w:rsidR="00AB5BFB" w:rsidRPr="00562078" w:rsidTr="00CE09AF">
        <w:tc>
          <w:tcPr>
            <w:tcW w:w="4784" w:type="dxa"/>
          </w:tcPr>
          <w:p w:rsidR="00AB5BFB" w:rsidRPr="00562078" w:rsidRDefault="00AB5BFB" w:rsidP="00CE09AF">
            <w:pPr>
              <w:pStyle w:val="ConsPlusNormal"/>
              <w:rPr>
                <w:sz w:val="24"/>
                <w:szCs w:val="24"/>
              </w:rPr>
            </w:pPr>
            <w:r w:rsidRPr="00562078">
              <w:rPr>
                <w:sz w:val="24"/>
                <w:szCs w:val="24"/>
              </w:rPr>
              <w:t>Заместитель руководителя</w:t>
            </w:r>
            <w:r w:rsidR="00A95246">
              <w:rPr>
                <w:sz w:val="24"/>
                <w:szCs w:val="24"/>
              </w:rPr>
              <w:t>,</w:t>
            </w:r>
            <w:r w:rsidR="00A95246" w:rsidRPr="00562078">
              <w:rPr>
                <w:sz w:val="24"/>
                <w:szCs w:val="24"/>
              </w:rPr>
              <w:t xml:space="preserve"> </w:t>
            </w:r>
            <w:r w:rsidR="00A95246">
              <w:rPr>
                <w:sz w:val="24"/>
                <w:szCs w:val="24"/>
              </w:rPr>
              <w:t>г</w:t>
            </w:r>
            <w:r w:rsidR="00A95246" w:rsidRPr="00562078">
              <w:rPr>
                <w:sz w:val="24"/>
                <w:szCs w:val="24"/>
              </w:rPr>
              <w:t>лавный бухгалтер</w:t>
            </w:r>
          </w:p>
        </w:tc>
        <w:tc>
          <w:tcPr>
            <w:tcW w:w="4195" w:type="dxa"/>
          </w:tcPr>
          <w:p w:rsidR="00AB5BFB" w:rsidRPr="00562078" w:rsidRDefault="00AB5BFB" w:rsidP="00CE0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078">
              <w:rPr>
                <w:sz w:val="24"/>
                <w:szCs w:val="24"/>
              </w:rPr>
              <w:t>4</w:t>
            </w:r>
          </w:p>
        </w:tc>
      </w:tr>
    </w:tbl>
    <w:p w:rsidR="005B79D1" w:rsidRDefault="005B79D1" w:rsidP="00AB5BFB">
      <w:pPr>
        <w:pStyle w:val="ConsPlusNormal"/>
        <w:ind w:firstLine="540"/>
        <w:jc w:val="both"/>
      </w:pPr>
    </w:p>
    <w:sectPr w:rsidR="005B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6D58" w:rsidRDefault="00196D58" w:rsidP="00945D27">
      <w:r>
        <w:separator/>
      </w:r>
    </w:p>
  </w:endnote>
  <w:endnote w:type="continuationSeparator" w:id="0">
    <w:p w:rsidR="00196D58" w:rsidRDefault="00196D58" w:rsidP="0094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6D58" w:rsidRDefault="00196D58" w:rsidP="00945D27">
      <w:r>
        <w:separator/>
      </w:r>
    </w:p>
  </w:footnote>
  <w:footnote w:type="continuationSeparator" w:id="0">
    <w:p w:rsidR="00196D58" w:rsidRDefault="00196D58" w:rsidP="00945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945F7"/>
    <w:multiLevelType w:val="hybridMultilevel"/>
    <w:tmpl w:val="8F52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78E6"/>
    <w:multiLevelType w:val="hybridMultilevel"/>
    <w:tmpl w:val="A126C73E"/>
    <w:lvl w:ilvl="0" w:tplc="2280F07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F75F96"/>
    <w:multiLevelType w:val="multilevel"/>
    <w:tmpl w:val="6EE01D5A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ascii="TimesET" w:hAnsi="TimesET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ascii="TimesET" w:hAnsi="TimesET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ascii="TimesET" w:hAnsi="TimesET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ascii="TimesET" w:hAnsi="TimesET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ascii="TimesET" w:hAnsi="TimesET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ascii="TimesET" w:hAnsi="TimesET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ascii="TimesET" w:hAnsi="TimesE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ascii="TimesET" w:hAnsi="TimesE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ascii="TimesET" w:hAnsi="TimesET" w:hint="default"/>
      </w:rPr>
    </w:lvl>
  </w:abstractNum>
  <w:abstractNum w:abstractNumId="3" w15:restartNumberingAfterBreak="0">
    <w:nsid w:val="74BC334D"/>
    <w:multiLevelType w:val="hybridMultilevel"/>
    <w:tmpl w:val="FF8AE348"/>
    <w:lvl w:ilvl="0" w:tplc="1932E13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B4470"/>
    <w:multiLevelType w:val="hybridMultilevel"/>
    <w:tmpl w:val="E4E6E124"/>
    <w:lvl w:ilvl="0" w:tplc="7E28412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04"/>
    <w:rsid w:val="000074CA"/>
    <w:rsid w:val="00024480"/>
    <w:rsid w:val="000311A7"/>
    <w:rsid w:val="00034BFC"/>
    <w:rsid w:val="000B2622"/>
    <w:rsid w:val="000C4D07"/>
    <w:rsid w:val="000F3F31"/>
    <w:rsid w:val="0010225A"/>
    <w:rsid w:val="00105D83"/>
    <w:rsid w:val="00115E60"/>
    <w:rsid w:val="0013405A"/>
    <w:rsid w:val="001549F6"/>
    <w:rsid w:val="001725AC"/>
    <w:rsid w:val="0019125A"/>
    <w:rsid w:val="00196D58"/>
    <w:rsid w:val="001A6530"/>
    <w:rsid w:val="001D46FF"/>
    <w:rsid w:val="001D68BC"/>
    <w:rsid w:val="001D7A3E"/>
    <w:rsid w:val="0024711E"/>
    <w:rsid w:val="0026291B"/>
    <w:rsid w:val="002703C1"/>
    <w:rsid w:val="0028103A"/>
    <w:rsid w:val="002B4DB8"/>
    <w:rsid w:val="002E351F"/>
    <w:rsid w:val="003048D1"/>
    <w:rsid w:val="00310511"/>
    <w:rsid w:val="00351D52"/>
    <w:rsid w:val="003907F7"/>
    <w:rsid w:val="003A5833"/>
    <w:rsid w:val="003D4C24"/>
    <w:rsid w:val="003E042F"/>
    <w:rsid w:val="003E0686"/>
    <w:rsid w:val="003F1BA5"/>
    <w:rsid w:val="003F5613"/>
    <w:rsid w:val="00410C2F"/>
    <w:rsid w:val="00425FDF"/>
    <w:rsid w:val="004311F1"/>
    <w:rsid w:val="00483D44"/>
    <w:rsid w:val="00485BD0"/>
    <w:rsid w:val="004A159C"/>
    <w:rsid w:val="004B0336"/>
    <w:rsid w:val="004E1964"/>
    <w:rsid w:val="004E7CDE"/>
    <w:rsid w:val="00524225"/>
    <w:rsid w:val="005305F2"/>
    <w:rsid w:val="00556C88"/>
    <w:rsid w:val="005600C3"/>
    <w:rsid w:val="00563372"/>
    <w:rsid w:val="005A4AA9"/>
    <w:rsid w:val="005B79D1"/>
    <w:rsid w:val="005D41DD"/>
    <w:rsid w:val="00661422"/>
    <w:rsid w:val="0069329A"/>
    <w:rsid w:val="006935C7"/>
    <w:rsid w:val="006A7C7C"/>
    <w:rsid w:val="006B5BE4"/>
    <w:rsid w:val="006B7A2B"/>
    <w:rsid w:val="006E739E"/>
    <w:rsid w:val="00756B3A"/>
    <w:rsid w:val="007719C0"/>
    <w:rsid w:val="00787FAB"/>
    <w:rsid w:val="007B4016"/>
    <w:rsid w:val="007D14D2"/>
    <w:rsid w:val="007F4965"/>
    <w:rsid w:val="007F5C48"/>
    <w:rsid w:val="00823373"/>
    <w:rsid w:val="00843AA2"/>
    <w:rsid w:val="00847152"/>
    <w:rsid w:val="00847D4F"/>
    <w:rsid w:val="00872A55"/>
    <w:rsid w:val="0088049C"/>
    <w:rsid w:val="00881FA7"/>
    <w:rsid w:val="00883A89"/>
    <w:rsid w:val="008D51B5"/>
    <w:rsid w:val="008D61D0"/>
    <w:rsid w:val="008E088B"/>
    <w:rsid w:val="008E7F33"/>
    <w:rsid w:val="008F4EB7"/>
    <w:rsid w:val="008F7E5A"/>
    <w:rsid w:val="00933222"/>
    <w:rsid w:val="00945D27"/>
    <w:rsid w:val="00951798"/>
    <w:rsid w:val="00964863"/>
    <w:rsid w:val="009834E9"/>
    <w:rsid w:val="009F1F00"/>
    <w:rsid w:val="00A2561E"/>
    <w:rsid w:val="00A52093"/>
    <w:rsid w:val="00A52386"/>
    <w:rsid w:val="00A95246"/>
    <w:rsid w:val="00AB5BFB"/>
    <w:rsid w:val="00AE2D9C"/>
    <w:rsid w:val="00B43A5E"/>
    <w:rsid w:val="00B81157"/>
    <w:rsid w:val="00B904D2"/>
    <w:rsid w:val="00BF34F5"/>
    <w:rsid w:val="00BF3CCA"/>
    <w:rsid w:val="00C24914"/>
    <w:rsid w:val="00C31ADB"/>
    <w:rsid w:val="00C44233"/>
    <w:rsid w:val="00C46054"/>
    <w:rsid w:val="00C51ADD"/>
    <w:rsid w:val="00C73CB7"/>
    <w:rsid w:val="00C96886"/>
    <w:rsid w:val="00CB0630"/>
    <w:rsid w:val="00CB41FF"/>
    <w:rsid w:val="00CF56FD"/>
    <w:rsid w:val="00D1315D"/>
    <w:rsid w:val="00D20F89"/>
    <w:rsid w:val="00D56121"/>
    <w:rsid w:val="00D62FC9"/>
    <w:rsid w:val="00D91A90"/>
    <w:rsid w:val="00DC11FF"/>
    <w:rsid w:val="00DE4AEA"/>
    <w:rsid w:val="00E27155"/>
    <w:rsid w:val="00E31604"/>
    <w:rsid w:val="00E52B84"/>
    <w:rsid w:val="00E804B8"/>
    <w:rsid w:val="00E9400C"/>
    <w:rsid w:val="00F02C3C"/>
    <w:rsid w:val="00F0753E"/>
    <w:rsid w:val="00F1050A"/>
    <w:rsid w:val="00F1140E"/>
    <w:rsid w:val="00F15081"/>
    <w:rsid w:val="00F22B6A"/>
    <w:rsid w:val="00F45ED4"/>
    <w:rsid w:val="00F466C4"/>
    <w:rsid w:val="00F5749C"/>
    <w:rsid w:val="00F8584E"/>
    <w:rsid w:val="00FB58C3"/>
    <w:rsid w:val="00FC6E1B"/>
    <w:rsid w:val="00FD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53070-AE64-4E74-8902-3A52A77C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7F7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9E"/>
    <w:pPr>
      <w:ind w:left="720"/>
      <w:contextualSpacing/>
    </w:pPr>
  </w:style>
  <w:style w:type="paragraph" w:customStyle="1" w:styleId="ConsPlusNormal">
    <w:name w:val="ConsPlusNormal"/>
    <w:rsid w:val="0077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719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B79D1"/>
    <w:rPr>
      <w:color w:val="0000FF" w:themeColor="hyperlink"/>
      <w:u w:val="single"/>
    </w:rPr>
  </w:style>
  <w:style w:type="table" w:styleId="a5">
    <w:name w:val="Table Grid"/>
    <w:basedOn w:val="a1"/>
    <w:rsid w:val="005B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2629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F49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9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45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5D27"/>
    <w:rPr>
      <w:rFonts w:ascii="TimesET" w:eastAsia="Times New Roman" w:hAnsi="TimesET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45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5D27"/>
    <w:rPr>
      <w:rFonts w:ascii="TimesET" w:eastAsia="Times New Roman" w:hAnsi="TimesE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5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5611-1BE6-4798-ADE4-70B72FA2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Кобзева Е. Г.</dc:creator>
  <cp:lastModifiedBy>Лариса Драй</cp:lastModifiedBy>
  <cp:revision>35</cp:revision>
  <cp:lastPrinted>2024-05-23T13:09:00Z</cp:lastPrinted>
  <dcterms:created xsi:type="dcterms:W3CDTF">2024-05-14T15:30:00Z</dcterms:created>
  <dcterms:modified xsi:type="dcterms:W3CDTF">2024-05-24T13:26:00Z</dcterms:modified>
</cp:coreProperties>
</file>