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sz w:val="26"/>
          <w:szCs w:val="26"/>
          <w:highlight w:val="white"/>
          <w:highlight w:val="white"/>
        </w:rPr>
      </w:pPr>
      <w:r>
        <w:rPr>
          <w:rFonts w:eastAsia="Calibri"/>
          <w:sz w:val="26"/>
          <w:szCs w:val="26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14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.08.2024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№ 2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56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«О проведении общественных обсуждений по проекту генеральн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С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асовский муниципальный округ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А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гломазовского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Сасовского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генеральн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Сасовский муниципальный округ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А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гломазовского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асовского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от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14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.08.2024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2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56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обсуждений;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заместитель директора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04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Экспозици</w:t>
      </w:r>
      <w:r>
        <w:rPr>
          <w:rFonts w:eastAsia="Times New Roman" w:cs="Times New Roman"/>
          <w:b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и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размещаются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val="ru-RU" w:eastAsia="en-US" w:bidi="ar-SA"/>
        </w:rPr>
        <w:t>Сасовский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, 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Усеиново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, ул.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Набережная 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val="ru-RU" w:eastAsia="en-US" w:bidi="ar-SA"/>
        </w:rPr>
        <w:t>ориентир</w:t>
        <w:br/>
        <w:t xml:space="preserve">дом </w:t>
      </w:r>
      <w:r>
        <w:rPr>
          <w:rFonts w:eastAsia="Times New Roman" w:cs="Times New Roman"/>
          <w:b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37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50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val="ru-RU" w:eastAsia="en-US" w:bidi="ar-SA"/>
        </w:rPr>
        <w:t>Сасовский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с.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Раково, ул. Набережная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49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)</w:t>
        <w:br/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.05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» августа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с.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Усады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, ул. П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аженская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(ориентир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остановка общественного транспорта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.20 час.«27»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Лотказино, ул. Молодежная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дом 53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10.35 час.«27»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Ернеево, ул. Набережная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дом 84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10.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50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час.«27»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Хрущево, ул. Набережная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дом 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11.05 час.«27»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Теньсюпино, ул. Луговая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дом 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</w:t>
        <w:br/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11.20 час.«27»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Колдамышево, ул. Речная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дом 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11.35 час.«27»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- Рязанская область, Сасовский район,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с.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Агломазово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, ул. п. Микрорайон, д. 10 (здание администрации)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 по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 с 08.00 час. по 17.00 час.,</w:t>
        <w:br/>
        <w:t>«27» августа 2024 г. с 08.00 час. по 11.55 час.).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u w:val="single"/>
          <w:lang w:val="ru-RU" w:eastAsia="en-US" w:bidi="ar-SA"/>
        </w:rPr>
        <w:t>27</w:t>
      </w: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.08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09.40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09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.50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Сасовский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</w:t>
        <w:br/>
        <w:t>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Усеиново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, ул.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Набережная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ориентир дом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37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- с 09.55 час. по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.05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Сасовский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с.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Раково, ул. Набережная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49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10.10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10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.20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Рязанская область, Сасовский район, с.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Усады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, ул. П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аженская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(ориентир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остановка общественного транспорта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</w:t>
      </w:r>
      <w:r>
        <w:rPr>
          <w:sz w:val="26"/>
          <w:szCs w:val="26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.25 час. по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1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0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.35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Сасовский район,</w:t>
        <w:br/>
        <w:t xml:space="preserve">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Лотказино, ул. Молодежная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53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</w:t>
      </w:r>
      <w:r>
        <w:rPr>
          <w:sz w:val="26"/>
          <w:szCs w:val="26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- с 1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.40 час. по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1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0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.50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Ернеево, ул. Набережная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84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</w:t>
      </w:r>
      <w:r>
        <w:rPr>
          <w:sz w:val="26"/>
          <w:szCs w:val="26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- с 1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.55 час. по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1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05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Сасовский район,</w:t>
        <w:br/>
        <w:t xml:space="preserve">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Хрущево, ул. Набережная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11.10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.20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Сасовский район,</w:t>
        <w:br/>
        <w:t xml:space="preserve">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Теньсюпино, ул. Луговая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.25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35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Сасовский район,</w:t>
        <w:br/>
        <w:t xml:space="preserve">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Колдамышево, ул. Речная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11.40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.55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Сасовский район,</w:t>
        <w:br/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с.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Агломазово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>, ул. п. Микрорайон, д. 10 (здание администрации)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г., с 9.00 час. по 17.00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г., с 9.00 час. по 17.00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время окончания консультирования</w:t>
        <w:br/>
        <w:t>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45">
    <w:name w:val="Table Grid Light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7">
    <w:name w:val="Plain Table 2"/>
    <w:basedOn w:val="870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4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5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7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7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7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8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8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8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8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8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8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8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8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8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8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9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9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80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80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81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81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81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1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1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3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4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4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4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4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4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4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4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4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4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4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5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5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5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6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6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6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6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6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6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7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7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LibreOffice/6.4.4.2$Linux_X86_64 LibreOffice_project/40$Build-2</Application>
  <Pages>3</Pages>
  <Words>935</Words>
  <Characters>6009</Characters>
  <CharactersWithSpaces>6903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2024-08-15T09:52:05Z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