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60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Новоберезовского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Новоберезовского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60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заместитель директора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 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Тархань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  <w:br/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Старое Березово, ул. Ленина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212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Сасовский район, 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Новое Березово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, ул. П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ридорожная, д. 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с 08.00 час.</w:t>
        <w:br/>
        <w:t>по 17.00 час., «27» августа 2024 г. с 08.00 час.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.50 час.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.05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.15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Тархань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12.20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.30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Старое Березово, ул. Ленина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212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.35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.50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час. по адресу: Рязанская область, Сасовский район,</w:t>
        <w:br/>
        <w:t xml:space="preserve">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Новое Березово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, ул. П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ридорожная, д. 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LibreOffice/6.4.4.2$Linux_X86_64 LibreOffice_project/40$Build-2</Application>
  <Pages>2</Pages>
  <Words>678</Words>
  <Characters>4642</Characters>
  <CharactersWithSpaces>5291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2024-08-15T10:00:57Z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