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28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76-д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Новочернеевское сельское поселение Шацкого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Новочернеевское сельское поселение Шацкого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28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276-д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Никулова Ирина Вячеславовна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18»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д. Сявель, ул. Центральная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65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29»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д. Парсаты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Зеленая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47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с. Старочернеево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остановка общественного транспорта ориентир дом 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с. Новочернеево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ул. Красный Октябрь, д. 14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с 08.00 час. по 17.00 час. «10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г., «11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с 08.00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п. Веселый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11.09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11.50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Сявель, ул. Центральная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65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12.10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br/>
        <w:t xml:space="preserve">д. Парсаты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Зеленая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47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12.25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12.35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Старочернеево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остановка общественного транспорта ориентир дом 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12.45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13.00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с. Новочернеево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ул. Красный Октябрь, д. 14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13.35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.45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Шацкий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п. Веселый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августа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2024-08-28T13:50:32Z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