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02.08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 № 239-д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Сотницынского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Сотницынского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02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№ 239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highlight w:val="non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«05»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п. Декабристов, ул. Комарова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br/>
        <w:t xml:space="preserve">дом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11.55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«12» августа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с. Верхнее Мальцево,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ул. Центральная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</w:t>
        <w:br/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п. Сотницыно, ул. Ленина, д. 1 (здание администрации)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«05» августа 2024 г. по «11» августа 2024 г. с 08.00 час. по 17.00 час.,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«12» августа 2024 года с 08.00 час. по 12.45 час.)</w:t>
      </w:r>
      <w:r>
        <w:rPr>
          <w:b w:val="false"/>
          <w:sz w:val="26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12.08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11.45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11.55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none"/>
          <w:lang w:val="ru-RU" w:bidi="ar-SA" w:eastAsia="en-US"/>
        </w:rPr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п. Декабристов, ул. Комарова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дом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auto"/>
          <w:sz w:val="26"/>
          <w:szCs w:val="26"/>
          <w:highlight w:val="white"/>
          <w:lang w:val="ru-RU" w:bidi="ar-SA" w:eastAsia="en-US"/>
        </w:rPr>
        <w:t xml:space="preserve">12.10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12.20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с. Верхнее Мальцево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ул. Центральная);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12.30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12.45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br/>
        <w:t xml:space="preserve">п. Сотницыно, ул. Ленина, д. 1 (здание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«12» августа 2024 г., с 9.00 час. по 17.00 час.);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«12» августа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80</cp:revision>
  <dcterms:created xsi:type="dcterms:W3CDTF">2024-05-31T06:53:00Z</dcterms:created>
  <dcterms:modified xsi:type="dcterms:W3CDTF">2024-08-05T12:45:28Z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