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.07.2024 №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232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Кадомское городское поселение Кадомского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 по проекту внесения изменений в правила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Кадомское городское поселение Кадомского муниципального района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ям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shd w:val="clear" w:fill="FFFFFF" w:color="FFFFFF"/>
          <w:lang w:val="ru-RU" w:bidi="ar-SA" w:eastAsia="zh-CN"/>
        </w:rPr>
        <w:t xml:space="preserve">ГКУ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30.07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232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бсуждений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«31» июля 2024 г. по «21»</w:t>
        <w:br/>
        <w:t xml:space="preserve">августа 2024 г.</w:t>
      </w:r>
      <w:r>
        <w:rPr>
          <w:highlight w:val="yellow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«31» июля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sz w:val="26"/>
          <w:szCs w:val="26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Кадомский район,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р.п. Кадом, ул. Ленина, д. 37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(здание администрации)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«31» июля 2024 г. по «11» августа 2024 г. с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17.15 час., «12» августа 2024 года с 08.00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2.30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cs="Times New Roman" w:eastAsia="Times New Roman"/>
          <w:b/>
          <w:color w:val="000000"/>
          <w:sz w:val="26"/>
          <w:szCs w:val="26"/>
          <w:highlight w:val="yellow"/>
          <w:u w:val="singl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12.08.2024: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10.00 час. по 10.20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  <w:t xml:space="preserve">Рязанская область, Кадомский район, р.п. Кадом, ул. Ленина, д. 37 (здание администрации).</w:t>
      </w:r>
      <w:r>
        <w:rPr>
          <w:rFonts w:cs="Times New Roman" w:eastAsia="Times New Roman"/>
          <w:sz w:val="26"/>
          <w:szCs w:val="26"/>
          <w:highlight w:val="whit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«31» июля 2024 г.</w:t>
        <w:br/>
        <w:t xml:space="preserve">по «12» августа 2024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9.00 час. по 17.00 час.);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«31» июля 2024 г.</w:t>
        <w:br/>
        <w:t xml:space="preserve">по «12» августа 2024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rFonts w:cs="Times New Roman" w:eastAsia="Times New Roman"/>
          <w:b/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ind w:left="-567" w:right="-284" w:firstLine="567"/>
        <w:jc w:val="both"/>
        <w:spacing w:lineRule="exact" w:line="283"/>
        <w:shd w:val="clear" w:fill="FFFFFF" w:color="FFFFFF" w:themeFill="background1"/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Кадомский район, р.п Кадом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  <w:br/>
        <w:t xml:space="preserve">ул. Ленина, д. 37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(с «31» июля 2024 г. по «11» августа</w:t>
        <w:br/>
        <w:t xml:space="preserve">с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17.15 час., «12» августа 2024 года с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08.00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10.20 час.).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65</cp:revision>
  <dcterms:created xsi:type="dcterms:W3CDTF">2024-05-31T06:53:00Z</dcterms:created>
  <dcterms:modified xsi:type="dcterms:W3CDTF">2024-07-30T13:11:02Z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