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221" w:rsidRDefault="00A26D92">
      <w:pPr>
        <w:keepNext/>
        <w:spacing w:before="0" w:after="0"/>
        <w:ind w:left="5670"/>
        <w:jc w:val="left"/>
      </w:pPr>
      <w:r>
        <w:t>Утверждены</w:t>
      </w:r>
    </w:p>
    <w:p w:rsidR="003E2221" w:rsidRDefault="00A26D9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3E2221" w:rsidRDefault="00A26D9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3E2221" w:rsidRDefault="00A26D92">
      <w:pPr>
        <w:keepNext/>
        <w:spacing w:before="0" w:after="0"/>
        <w:ind w:left="5670"/>
        <w:jc w:val="left"/>
      </w:pPr>
      <w:r>
        <w:t>Рязанской области</w:t>
      </w:r>
    </w:p>
    <w:p w:rsidR="003E2221" w:rsidRDefault="00816371">
      <w:pPr>
        <w:keepNext/>
        <w:tabs>
          <w:tab w:val="left" w:pos="5100"/>
        </w:tabs>
        <w:spacing w:before="0" w:after="0"/>
        <w:ind w:left="5670"/>
        <w:jc w:val="left"/>
      </w:pPr>
      <w:r>
        <w:t>от 21 августа 2024 г.</w:t>
      </w:r>
      <w:r w:rsidR="00A26D92">
        <w:t xml:space="preserve"> №</w:t>
      </w:r>
      <w:r>
        <w:t xml:space="preserve"> 432-п</w:t>
      </w:r>
      <w:bookmarkStart w:id="0" w:name="_GoBack"/>
      <w:bookmarkEnd w:id="0"/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A26D92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3E2221" w:rsidRDefault="00A26D92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Путятинский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Карабухинского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Путятинского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3E2221" w:rsidRDefault="00A26D92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E2221" w:rsidRDefault="003E222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3E2221" w:rsidRDefault="00A26D92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3E222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3E2221" w:rsidRDefault="00A26D92">
      <w:pPr>
        <w:keepNext/>
        <w:widowControl w:val="0"/>
        <w:numPr>
          <w:ilvl w:val="0"/>
          <w:numId w:val="1"/>
        </w:numPr>
        <w:spacing w:before="0" w:after="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3E2221" w:rsidRDefault="00A26D9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lang w:eastAsia="ru-RU"/>
        </w:rPr>
        <w:t>Путятинский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8"/>
          <w:lang w:eastAsia="ru-RU"/>
        </w:rPr>
        <w:t>Карабухинского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11.04.2024 №137-п, принятого на основании статьи 24 Градостроительного кодекса Российской Федерации, статьи 10¹ Закона Рязанской области от 21.09.2010 № 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Рязанской области от 08.06.2023 № 51-ОЗ «О преобразовании муниципальных образований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 </w:t>
      </w: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3E222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3E2221" w:rsidRDefault="00A26D9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3E2221" w:rsidRDefault="003E2221">
      <w:pPr>
        <w:pStyle w:val="aa"/>
        <w:rPr>
          <w:color w:val="auto"/>
          <w:szCs w:val="28"/>
        </w:rPr>
      </w:pPr>
    </w:p>
    <w:p w:rsidR="003E2221" w:rsidRDefault="00A26D92">
      <w:pPr>
        <w:pStyle w:val="aa"/>
        <w:rPr>
          <w:sz w:val="32"/>
          <w:szCs w:val="32"/>
        </w:rPr>
      </w:pPr>
      <w:proofErr w:type="gram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en-US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, переставлены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br/>
        <w:t>в таблице 1.1.</w:t>
      </w:r>
      <w:proofErr w:type="gramEnd"/>
    </w:p>
    <w:p w:rsidR="003E2221" w:rsidRDefault="00A26D92">
      <w:pPr>
        <w:pStyle w:val="aa"/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2098"/>
        <w:gridCol w:w="1700"/>
        <w:gridCol w:w="1417"/>
        <w:gridCol w:w="1077"/>
      </w:tblGrid>
      <w:tr w:rsidR="003E2221">
        <w:trPr>
          <w:trHeight w:val="497"/>
          <w:tblHeader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Наименование</w:t>
            </w:r>
          </w:p>
          <w:p w:rsidR="003E2221" w:rsidRDefault="00A26D92">
            <w:pPr>
              <w:pStyle w:val="af1"/>
              <w:widowControl w:val="0"/>
            </w:pPr>
            <w:r>
              <w:t>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Основные характеристики объекта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Местоположение</w:t>
            </w:r>
          </w:p>
          <w:p w:rsidR="003E2221" w:rsidRDefault="00A26D92">
            <w:pPr>
              <w:pStyle w:val="af1"/>
              <w:widowControl w:val="0"/>
            </w:pPr>
            <w:r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Зона с особыми условиями использования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proofErr w:type="spellStart"/>
            <w:proofErr w:type="gramStart"/>
            <w:r>
              <w:t>Функцио-нальная</w:t>
            </w:r>
            <w:proofErr w:type="spellEnd"/>
            <w:proofErr w:type="gramEnd"/>
          </w:p>
          <w:p w:rsidR="003E2221" w:rsidRDefault="00A26D92">
            <w:pPr>
              <w:pStyle w:val="af1"/>
              <w:widowControl w:val="0"/>
            </w:pPr>
            <w:r>
              <w:t>зона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Статус объекта</w:t>
            </w:r>
          </w:p>
        </w:tc>
      </w:tr>
      <w:tr w:rsidR="003E2221">
        <w:trPr>
          <w:trHeight w:val="1603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Дошкольная образовательная организация</w:t>
            </w:r>
          </w:p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(Код объекта 602010101</w:t>
            </w:r>
            <w:r w:rsidRPr="00011119"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ind w:left="0"/>
            </w:pPr>
            <w:r>
              <w:t>Детский сад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</w:pPr>
            <w:r>
              <w:t>Рязанская область</w:t>
            </w:r>
          </w:p>
          <w:p w:rsidR="003E2221" w:rsidRDefault="00A26D92">
            <w:pPr>
              <w:pStyle w:val="af1"/>
              <w:widowControl w:val="0"/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Путятинский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округ</w:t>
            </w:r>
            <w:r>
              <w:rPr>
                <w:rStyle w:val="20"/>
              </w:rPr>
              <w:t>,</w:t>
            </w:r>
            <w:r>
              <w:rPr>
                <w:rStyle w:val="20"/>
              </w:rPr>
              <w:br/>
              <w:t>с. Карабухино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kern w:val="0"/>
                <w:lang w:eastAsia="en-US"/>
              </w:rPr>
              <w:t>устанавли-вается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Жилая зона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ind w:left="0"/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размещению</w:t>
            </w:r>
          </w:p>
        </w:tc>
      </w:tr>
    </w:tbl>
    <w:p w:rsidR="003E2221" w:rsidRDefault="003E2221">
      <w:pPr>
        <w:suppressLineNumbers/>
        <w:spacing w:before="0" w:after="0"/>
        <w:ind w:firstLine="709"/>
        <w:contextualSpacing/>
        <w:jc w:val="both"/>
        <w:rPr>
          <w:rStyle w:val="-"/>
          <w:sz w:val="28"/>
          <w:szCs w:val="28"/>
        </w:rPr>
      </w:pPr>
    </w:p>
    <w:p w:rsidR="003E2221" w:rsidRDefault="00A26D9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за исключением линейных объектов</w:t>
      </w:r>
    </w:p>
    <w:p w:rsidR="003E2221" w:rsidRDefault="003E2221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3E2221" w:rsidRDefault="00A26D92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Путятинский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Карабухинского</w:t>
      </w:r>
      <w:proofErr w:type="spellEnd"/>
      <w:r>
        <w:rPr>
          <w:szCs w:val="28"/>
        </w:rPr>
        <w:t xml:space="preserve"> сельского округа учитывалось:</w:t>
      </w:r>
    </w:p>
    <w:p w:rsidR="003E2221" w:rsidRDefault="00A26D92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3E2221" w:rsidRDefault="00A26D92">
      <w:pPr>
        <w:pStyle w:val="aa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3E2221" w:rsidRDefault="00A26D92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3E2221" w:rsidRDefault="00A26D92">
      <w:pPr>
        <w:pStyle w:val="aa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3E2221" w:rsidRDefault="00A26D92">
      <w:pPr>
        <w:pStyle w:val="aa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3E2221" w:rsidRDefault="00A26D92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20"/>
          <w:iCs/>
          <w:spacing w:val="5"/>
          <w:szCs w:val="28"/>
        </w:rPr>
        <w:t>Путятинский</w:t>
      </w:r>
      <w:proofErr w:type="spellEnd"/>
      <w:r>
        <w:rPr>
          <w:rStyle w:val="20"/>
          <w:iCs/>
          <w:spacing w:val="5"/>
          <w:szCs w:val="28"/>
        </w:rPr>
        <w:t xml:space="preserve"> муниципальный округ Рязанской области </w:t>
      </w:r>
      <w:r>
        <w:rPr>
          <w:rStyle w:val="20"/>
          <w:iCs/>
          <w:spacing w:val="5"/>
          <w:szCs w:val="28"/>
        </w:rPr>
        <w:lastRenderedPageBreak/>
        <w:t xml:space="preserve">применительно к территории </w:t>
      </w:r>
      <w:proofErr w:type="spellStart"/>
      <w:r>
        <w:rPr>
          <w:rStyle w:val="20"/>
          <w:iCs/>
          <w:spacing w:val="5"/>
          <w:szCs w:val="28"/>
        </w:rPr>
        <w:t>Карабухинского</w:t>
      </w:r>
      <w:proofErr w:type="spellEnd"/>
      <w:r>
        <w:rPr>
          <w:rStyle w:val="20"/>
          <w:iCs/>
          <w:spacing w:val="5"/>
          <w:szCs w:val="28"/>
        </w:rPr>
        <w:t xml:space="preserve"> сельского округа установлены функциональные зоны, представленные в таблице 2.1.</w:t>
      </w:r>
    </w:p>
    <w:p w:rsidR="003E2221" w:rsidRDefault="00A26D92">
      <w:pPr>
        <w:pStyle w:val="aa"/>
        <w:numPr>
          <w:ilvl w:val="0"/>
          <w:numId w:val="1"/>
        </w:numPr>
        <w:ind w:firstLine="709"/>
        <w:contextualSpacing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3E2221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3E2221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3E222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E2221" w:rsidRDefault="003E222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E2221" w:rsidRDefault="003E222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E2221" w:rsidRDefault="003E2221">
            <w:pPr>
              <w:widowControl w:val="0"/>
              <w:snapToGrid w:val="0"/>
            </w:pPr>
          </w:p>
        </w:tc>
      </w:tr>
      <w:tr w:rsidR="003E2221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pt;height:29.8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3E2221">
        <w:trPr>
          <w:trHeight w:val="8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05pt;height:29.8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4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1pt;height:29.8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01111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29625D69" wp14:editId="3DA6449C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5715" b="1905"/>
                      <wp:wrapNone/>
                      <wp:docPr id="6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4" o:spid="_x0000_s1026" style="position:absolute;margin-left:47.45pt;margin-top:3.95pt;width:61.05pt;height:29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" o:allowincell="f" fillcolor="#006a91">
                      <v:stroke joinstyle="round"/>
                    </v:rect>
                  </w:pict>
                </mc:Fallback>
              </mc:AlternateContent>
            </w:r>
            <w:r w:rsidR="00A26D92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</w:pPr>
            <w: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транспортной инфраструктуры предназначена для размещения объектов дорожного сервиса.</w:t>
            </w:r>
          </w:p>
          <w:p w:rsidR="003E2221" w:rsidRDefault="003E2221">
            <w:pPr>
              <w:pStyle w:val="af1"/>
              <w:widowControl w:val="0"/>
              <w:ind w:left="57"/>
              <w:jc w:val="left"/>
            </w:pP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01111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1086E5EF" wp14:editId="222FBF58">
                      <wp:simplePos x="0" y="0"/>
                      <wp:positionH relativeFrom="column">
                        <wp:posOffset>603968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5715" b="1905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6" style="position:absolute;margin-left:47.55pt;margin-top:3.95pt;width:61.05pt;height:29.8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" o:allowincell="f" fillcolor="#a17b19">
                      <v:stroke joinstyle="round"/>
                    </v:rect>
                  </w:pict>
                </mc:Fallback>
              </mc:AlternateContent>
            </w:r>
            <w:r w:rsidR="00A26D92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9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0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</w:pPr>
            <w:r>
              <w:t>Зона добычи полезных ископаемых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a"/>
              <w:widowControl w:val="0"/>
              <w:suppressLineNumbers/>
              <w:ind w:left="57" w:firstLine="0"/>
              <w:jc w:val="left"/>
              <w:textAlignment w:val="baseline"/>
              <w:rPr>
                <w:sz w:val="24"/>
              </w:rPr>
            </w:pPr>
            <w:r>
              <w:rPr>
                <w:rFonts w:eastAsia="Calibri" w:cs="Calibri"/>
                <w:bCs/>
                <w:kern w:val="0"/>
                <w:sz w:val="24"/>
              </w:rPr>
              <w:t>Зона добычи полезных ископаемых</w:t>
            </w:r>
            <w:r>
              <w:rPr>
                <w:rFonts w:eastAsia="Calibri" w:cs="Calibri"/>
                <w:bCs/>
                <w:kern w:val="0"/>
                <w:sz w:val="24"/>
                <w:shd w:val="clear" w:color="auto" w:fill="FFFFFF"/>
              </w:rPr>
              <w:t xml:space="preserve"> предназначена</w:t>
            </w:r>
            <w:r>
              <w:rPr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eastAsia="Calibri" w:cs="Calibri"/>
                <w:bCs/>
                <w:kern w:val="0"/>
                <w:sz w:val="24"/>
                <w:shd w:val="clear" w:color="auto" w:fill="FFFFFF"/>
              </w:rPr>
              <w:t>для</w:t>
            </w:r>
            <w:r>
              <w:rPr>
                <w:bCs/>
                <w:sz w:val="24"/>
              </w:rPr>
              <w:t xml:space="preserve"> размещения объектов капитального строительства в целях добычи полезных ископаемых, с необходимой организацией санитарно-защитной зоны в соответствии с требованиями технических регламентов.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1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pt;height:29.8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2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1pt;height:29.8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 </w:t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011119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095A3D74" wp14:editId="65F4432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50165</wp:posOffset>
                      </wp:positionV>
                      <wp:extent cx="771525" cy="375285"/>
                      <wp:effectExtent l="0" t="0" r="9525" b="5715"/>
                      <wp:wrapNone/>
                      <wp:docPr id="15" name="Врезка13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8" o:spid="_x0000_s1026" style="position:absolute;margin-left:43.7pt;margin-top:3.95pt;width:60.75pt;height:29.5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" o:allowincell="f" fillcolor="#f57a7a">
                      <v:stroke joinstyle="round"/>
                    </v:rect>
                  </w:pict>
                </mc:Fallback>
              </mc:AlternateContent>
            </w:r>
            <w:r w:rsidR="00A26D92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1525" cy="375285"/>
                      <wp:effectExtent l="0" t="0" r="0" b="0"/>
                      <wp:wrapNone/>
                      <wp:docPr id="16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760" cy="374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18.45pt;margin-top:3.95pt;width:60.65pt;height:29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rPr>
                <w:sz w:val="32"/>
                <w:szCs w:val="32"/>
              </w:rPr>
            </w:pPr>
            <w:r>
              <w:t>Зона отдыха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a"/>
              <w:widowControl w:val="0"/>
              <w:ind w:left="57" w:firstLine="0"/>
              <w:textAlignment w:val="baseline"/>
            </w:pPr>
            <w:r>
              <w:rPr>
                <w:rStyle w:val="20"/>
                <w:sz w:val="24"/>
                <w:lang w:eastAsia="ru-RU"/>
              </w:rPr>
              <w:t>Зона о</w:t>
            </w:r>
            <w:r>
              <w:rPr>
                <w:rStyle w:val="20"/>
                <w:sz w:val="24"/>
                <w:lang w:eastAsia="ar-SA"/>
              </w:rPr>
              <w:t>тдыха выделена в целях организации отдыха и досуга населения.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7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pt;height:29.8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18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3E222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970" cy="379730"/>
                      <wp:effectExtent l="0" t="0" r="0" b="0"/>
                      <wp:wrapNone/>
                      <wp:docPr id="1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7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pt;height:29.8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5335" cy="379095"/>
                      <wp:effectExtent l="0" t="0" r="0" b="0"/>
                      <wp:wrapNone/>
                      <wp:docPr id="2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0.95pt;height:29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3E2221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2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3E2221" w:rsidRDefault="003E2221">
      <w:pPr>
        <w:pStyle w:val="aa"/>
        <w:rPr>
          <w:szCs w:val="28"/>
        </w:rPr>
      </w:pPr>
    </w:p>
    <w:p w:rsidR="003E2221" w:rsidRDefault="00A26D92">
      <w:pPr>
        <w:pStyle w:val="aa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Карабухинского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3E2221" w:rsidRDefault="00A26D92">
      <w:pPr>
        <w:pStyle w:val="aa"/>
        <w:numPr>
          <w:ilvl w:val="0"/>
          <w:numId w:val="2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Путятинский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 xml:space="preserve">язанской области применительно к территории </w:t>
      </w:r>
      <w:proofErr w:type="spellStart"/>
      <w:r>
        <w:rPr>
          <w:iCs/>
          <w:spacing w:val="5"/>
          <w:szCs w:val="28"/>
        </w:rPr>
        <w:t>Карабухинского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3E2221" w:rsidRDefault="003E2221">
      <w:pPr>
        <w:pStyle w:val="aa"/>
        <w:numPr>
          <w:ilvl w:val="0"/>
          <w:numId w:val="2"/>
        </w:numPr>
        <w:ind w:firstLine="709"/>
        <w:rPr>
          <w:iCs/>
          <w:szCs w:val="28"/>
        </w:rPr>
      </w:pPr>
    </w:p>
    <w:p w:rsidR="003E2221" w:rsidRDefault="00A26D92">
      <w:pPr>
        <w:pStyle w:val="aa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kern w:val="0"/>
          <w:szCs w:val="28"/>
          <w:shd w:val="clear" w:color="auto" w:fill="FFFFFF"/>
        </w:rPr>
      </w:pPr>
      <w:r>
        <w:rPr>
          <w:rStyle w:val="-"/>
          <w:rFonts w:eastAsia="Arial"/>
          <w:iCs/>
          <w:color w:val="000000"/>
          <w:spacing w:val="4"/>
          <w:kern w:val="0"/>
          <w:szCs w:val="28"/>
          <w:u w:val="none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026"/>
        <w:gridCol w:w="1247"/>
        <w:gridCol w:w="1709"/>
        <w:gridCol w:w="1693"/>
        <w:gridCol w:w="1706"/>
      </w:tblGrid>
      <w:tr w:rsidR="003E2221">
        <w:trPr>
          <w:trHeight w:val="845"/>
          <w:tblHeader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№</w:t>
            </w:r>
          </w:p>
          <w:p w:rsidR="003E2221" w:rsidRDefault="00A26D92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Наименование</w:t>
            </w:r>
          </w:p>
          <w:p w:rsidR="003E2221" w:rsidRDefault="00A26D92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Площадь,</w:t>
            </w:r>
          </w:p>
          <w:p w:rsidR="003E2221" w:rsidRDefault="00A26D92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21" w:rsidRDefault="00A26D92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3E2221">
        <w:trPr>
          <w:trHeight w:val="34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numPr>
                <w:ilvl w:val="0"/>
                <w:numId w:val="2"/>
              </w:numPr>
              <w:ind w:left="28"/>
            </w:pPr>
            <w:r>
              <w:t>1.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1373,91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3E222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E222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3E222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E222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3E2221">
        <w:trPr>
          <w:trHeight w:val="34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21" w:rsidRDefault="003E2221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3E2221">
        <w:trPr>
          <w:trHeight w:val="56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2.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0,37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56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3.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39,30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4.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5,38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5.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добычи полезных ископаемых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10,00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6.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widowControl w:val="0"/>
              <w:suppressLineNumbers/>
              <w:overflowPunct w:val="0"/>
              <w:spacing w:before="0" w:after="0"/>
              <w:ind w:left="113" w:right="113"/>
              <w:jc w:val="both"/>
            </w:pPr>
            <w:r>
              <w:t xml:space="preserve">Зоны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23512,24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lastRenderedPageBreak/>
              <w:t>7.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56,90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55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8.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widowControl w:val="0"/>
              <w:suppressLineNumbers/>
              <w:spacing w:before="0" w:after="0"/>
              <w:ind w:left="113" w:right="113"/>
              <w:jc w:val="both"/>
            </w:pPr>
            <w: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0"/>
            </w:pPr>
            <w:r>
              <w:t>2,68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51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9.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13391,15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51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10.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a"/>
              <w:widowControl w:val="0"/>
              <w:suppressLineNumbers/>
              <w:tabs>
                <w:tab w:val="left" w:pos="680"/>
              </w:tabs>
              <w:ind w:left="57" w:right="57" w:firstLine="0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2,36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51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11.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  <w:snapToGrid w:val="0"/>
              <w:ind w:left="0"/>
            </w:pPr>
            <w:r>
              <w:t>6,63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f1"/>
              <w:widowControl w:val="0"/>
            </w:pPr>
            <w:r>
              <w:t>-</w:t>
            </w:r>
          </w:p>
        </w:tc>
      </w:tr>
      <w:tr w:rsidR="003E222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3E2221" w:rsidRDefault="00A26D92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3E2221" w:rsidRDefault="003E2221">
      <w:pPr>
        <w:pStyle w:val="aa"/>
        <w:rPr>
          <w:sz w:val="32"/>
          <w:szCs w:val="32"/>
        </w:rPr>
      </w:pPr>
    </w:p>
    <w:p w:rsidR="003E2221" w:rsidRDefault="00A26D92">
      <w:pPr>
        <w:pStyle w:val="aa"/>
        <w:suppressLineNumbers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- </w:t>
      </w:r>
      <w:proofErr w:type="spellStart"/>
      <w:r>
        <w:rPr>
          <w:rStyle w:val="-"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iCs/>
          <w:color w:val="000000"/>
          <w:spacing w:val="5"/>
          <w:szCs w:val="28"/>
          <w:u w:val="none"/>
          <w:lang w:eastAsia="ar-SA"/>
        </w:rPr>
        <w:t xml:space="preserve"> муниципальный округ </w:t>
      </w:r>
      <w:r>
        <w:rPr>
          <w:rStyle w:val="-"/>
          <w:iCs/>
          <w:color w:val="000000"/>
          <w:spacing w:val="5"/>
          <w:szCs w:val="28"/>
          <w:u w:val="none"/>
        </w:rPr>
        <w:t>Р</w:t>
      </w:r>
      <w:r>
        <w:rPr>
          <w:rStyle w:val="-"/>
          <w:iCs/>
          <w:color w:val="000000"/>
          <w:spacing w:val="5"/>
          <w:szCs w:val="28"/>
          <w:u w:val="none"/>
          <w:lang w:eastAsia="ar-SA"/>
        </w:rPr>
        <w:t xml:space="preserve">язанской области применительно к территории </w:t>
      </w:r>
      <w:proofErr w:type="spellStart"/>
      <w:r>
        <w:rPr>
          <w:rStyle w:val="-"/>
          <w:iCs/>
          <w:color w:val="000000"/>
          <w:spacing w:val="5"/>
          <w:szCs w:val="28"/>
          <w:u w:val="none"/>
        </w:rPr>
        <w:t>Карабухинского</w:t>
      </w:r>
      <w:proofErr w:type="spellEnd"/>
      <w:r>
        <w:rPr>
          <w:rStyle w:val="-"/>
          <w:iCs/>
          <w:color w:val="000000"/>
          <w:spacing w:val="5"/>
          <w:szCs w:val="28"/>
          <w:u w:val="none"/>
          <w:lang w:eastAsia="ar-SA"/>
        </w:rPr>
        <w:t xml:space="preserve"> сельского округа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sectPr w:rsidR="003E222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CC" w:rsidRDefault="002D54CC">
      <w:pPr>
        <w:spacing w:before="0" w:after="0"/>
      </w:pPr>
      <w:r>
        <w:separator/>
      </w:r>
    </w:p>
  </w:endnote>
  <w:endnote w:type="continuationSeparator" w:id="0">
    <w:p w:rsidR="002D54CC" w:rsidRDefault="002D54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CC" w:rsidRDefault="002D54CC">
      <w:pPr>
        <w:spacing w:before="0" w:after="0"/>
      </w:pPr>
      <w:r>
        <w:separator/>
      </w:r>
    </w:p>
  </w:footnote>
  <w:footnote w:type="continuationSeparator" w:id="0">
    <w:p w:rsidR="002D54CC" w:rsidRDefault="002D54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3E222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1" w:rsidRDefault="00A26D92">
    <w:pPr>
      <w:pStyle w:val="af4"/>
    </w:pPr>
    <w:r>
      <w:fldChar w:fldCharType="begin"/>
    </w:r>
    <w:r>
      <w:instrText>PAGE</w:instrText>
    </w:r>
    <w:r>
      <w:fldChar w:fldCharType="separate"/>
    </w:r>
    <w:r w:rsidR="00B67FAC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02064"/>
      <w:docPartObj>
        <w:docPartGallery w:val="Page Numbers (Top of Page)"/>
        <w:docPartUnique/>
      </w:docPartObj>
    </w:sdtPr>
    <w:sdtEndPr/>
    <w:sdtContent>
      <w:p w:rsidR="003E2221" w:rsidRDefault="00A26D92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B67FA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092"/>
    <w:multiLevelType w:val="multilevel"/>
    <w:tmpl w:val="9438A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20029B"/>
    <w:multiLevelType w:val="multilevel"/>
    <w:tmpl w:val="57D64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E5449D"/>
    <w:multiLevelType w:val="multilevel"/>
    <w:tmpl w:val="DA441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27458C2"/>
    <w:multiLevelType w:val="multilevel"/>
    <w:tmpl w:val="A07E8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221"/>
    <w:rsid w:val="00011119"/>
    <w:rsid w:val="002D54CC"/>
    <w:rsid w:val="003E2221"/>
    <w:rsid w:val="00816371"/>
    <w:rsid w:val="00A26D92"/>
    <w:rsid w:val="00B67FAC"/>
    <w:rsid w:val="00D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419</cp:revision>
  <cp:lastPrinted>2024-08-21T12:50:00Z</cp:lastPrinted>
  <dcterms:created xsi:type="dcterms:W3CDTF">2024-03-05T12:25:00Z</dcterms:created>
  <dcterms:modified xsi:type="dcterms:W3CDTF">2024-08-21T12:50:00Z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