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4"/>
          <w:szCs w:val="24"/>
        </w:rPr>
        <w:t xml:space="preserve">от 13 августа 2024 г. № 411-п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" w:right="43" w:firstLine="0"/>
        <w:jc w:val="center"/>
        <w:spacing w:lineRule="exact" w:line="317" w:before="71"/>
      </w:pPr>
      <w:r/>
      <w:r/>
    </w:p>
    <w:p>
      <w:pPr>
        <w:ind w:left="6" w:right="43" w:firstLine="0"/>
        <w:jc w:val="center"/>
        <w:spacing w:lineRule="exact" w:line="317" w:before="71"/>
      </w:pPr>
      <w:r/>
      <w:r/>
    </w:p>
    <w:p>
      <w:pPr>
        <w:ind w:left="6" w:right="43" w:firstLine="0"/>
        <w:jc w:val="center"/>
        <w:spacing w:lineRule="exact" w:line="317" w:before="71"/>
        <w:rPr>
          <w:sz w:val="28"/>
        </w:rPr>
      </w:pPr>
      <w:r>
        <w:t xml:space="preserve">«</w:t>
      </w:r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ind w:left="2277" w:right="2383" w:hanging="2"/>
        <w:jc w:val="center"/>
        <w:spacing w:lineRule="auto" w:line="230" w:before="3"/>
        <w:rPr>
          <w:sz w:val="22"/>
        </w:rPr>
      </w:pPr>
      <w:r>
        <w:rPr>
          <w:sz w:val="22"/>
        </w:rPr>
        <w:t xml:space="preserve">местоположения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населенных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пунктов,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территориальных зон, особо охраняемых природных террито</w:t>
      </w:r>
      <w:r>
        <w:rPr>
          <w:sz w:val="22"/>
        </w:rPr>
        <w:t xml:space="preserve">рий, </w:t>
      </w:r>
      <w:r>
        <w:rPr>
          <w:sz w:val="22"/>
        </w:rPr>
        <w:t xml:space="preserve">зон с особыми условиями использования территории</w:t>
      </w:r>
      <w:r>
        <w:rPr>
          <w:sz w:val="22"/>
        </w:rPr>
      </w:r>
      <w:r/>
    </w:p>
    <w:p>
      <w:pPr>
        <w:spacing w:lineRule="auto" w:line="240" w:before="212"/>
        <w:rPr>
          <w:sz w:val="22"/>
        </w:rPr>
      </w:pPr>
      <w:r>
        <w:rPr>
          <w:sz w:val="22"/>
        </w:rPr>
      </w:r>
      <w:r/>
    </w:p>
    <w:p>
      <w:pPr>
        <w:ind w:left="0" w:right="43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Жилая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</w:t>
      </w:r>
      <w:r>
        <w:rPr>
          <w:i/>
          <w:spacing w:val="-2"/>
          <w:sz w:val="22"/>
          <w:u w:val="single"/>
        </w:rPr>
        <w:t xml:space="preserve">Инкино)</w:t>
      </w:r>
      <w:r/>
    </w:p>
    <w:p>
      <w:pPr>
        <w:spacing w:lineRule="auto" w:line="240" w:before="129"/>
        <w:rPr>
          <w:i/>
          <w:sz w:val="20"/>
        </w:rPr>
      </w:pPr>
      <w:r>
        <w:rPr>
          <w:i/>
          <w:sz w:val="20"/>
        </w:rPr>
      </w:r>
      <w:r/>
    </w:p>
    <w:p>
      <w:pPr>
        <w:pStyle w:val="850"/>
        <w:ind w:left="8" w:right="43"/>
        <w:jc w:val="center"/>
        <w:spacing w:before="1"/>
      </w:pPr>
      <w:r>
        <w:t xml:space="preserve">(наименование</w:t>
      </w:r>
      <w:r>
        <w:rPr>
          <w:spacing w:val="-7"/>
        </w:rPr>
        <w:t xml:space="preserve"> </w:t>
      </w:r>
      <w:r>
        <w:t xml:space="preserve">объекта,</w:t>
      </w:r>
      <w:r>
        <w:rPr>
          <w:spacing w:val="-4"/>
        </w:rPr>
        <w:t xml:space="preserve"> </w:t>
      </w:r>
      <w:r>
        <w:t xml:space="preserve">местоположение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3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описано</w:t>
      </w:r>
      <w:r>
        <w:rPr>
          <w:spacing w:val="-4"/>
        </w:rPr>
        <w:t xml:space="preserve"> </w:t>
      </w:r>
      <w:r>
        <w:t xml:space="preserve">(далее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rPr>
          <w:spacing w:val="-2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ind w:left="10" w:right="43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lineRule="exact" w:line="246" w:before="1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м.р-н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Касимовский, с.п Ермоловское, д Инкино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625783кв.м.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277кв.м.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6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42" w:right="43" w:firstLine="0"/>
        <w:jc w:val="center"/>
        <w:spacing w:before="253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2267174,03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2267361,04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2267416,02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2267443,65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2267517,04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2267541,57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2267541,18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2267541,32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2267541,15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2267545,96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2267555,81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2267558,61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2267587,41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2267588,8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2267595,29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2267624,55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478838,9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2267624,76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2267671,45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2267686,58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2267743,89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2267745,5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2267749,63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2267744,93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2267727,21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2267727,6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2267699,35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2267709,23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2267705,49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2267719,66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2267719,64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2267705,81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2267704,97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2267709,04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2267699,21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2267698,92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2267698,28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2267685,97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2267688,06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2267689,17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2267676,95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2267676,79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2267684,58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2267725,69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2267721,45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2267734,92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2267720,69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2267565,11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2267498,64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2267367,33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2267342,78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2267274,34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2267255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2267235,66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2267231,94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2267227,48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2267223,02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2267211,12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2267192,35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2267191,32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2267170,94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2267167,3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2267174,03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hanging="58"/>
              <w:jc w:val="left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4"/>
              <w:jc w:val="left"/>
              <w:spacing w:before="65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681369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6813696;o:allowoverlap:true;o:allowincell:true;mso-position-horizontal-relative:text;margin-left:114.7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681369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6813696;o:allowoverlap:true;o:allowincell:true;mso-position-horizontal-relative:page;margin-left:291.6pt;mso-position-horizontal:absolute;mso-position-vertical-relative:page;margin-top:14.0pt;mso-position-vertical:absolute;width:13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2024-07-30T12:30:15Z</dcterms:created>
  <dcterms:modified xsi:type="dcterms:W3CDTF">2024-08-14T11:14:11Z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Calc</vt:lpwstr>
  </property>
  <property fmtid="{D5CDD505-2E9C-101B-9397-08002B2CF9AE}" pid="4" name="LastSaved">
    <vt:filetime>2024-07-30T00:00:00Z</vt:filetime>
  </property>
  <property fmtid="{D5CDD505-2E9C-101B-9397-08002B2CF9AE}" pid="5" name="Producer">
    <vt:lpwstr>4-Heights™ PDF Library 3.4.0.6904 (http://www.pdf-tools.com)</vt:lpwstr>
  </property>
</Properties>
</file>