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25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.0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9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 №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3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44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внесения изменений в правила землепользования 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Ухоловское городское поселение Ухоловского муниципального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внесения изменений в правила землепользования</w:t>
        <w:br/>
        <w:t>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Ухоловское городское поселение Ухоловского муниципального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  <w:t>от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25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.09.2024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3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44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обсуждений;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начальник отдела комиссии по территориальному планированию, землепользованию и застройке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ГКУ РО «Центр градостроительного развития Рязанской области» —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Никулова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Ирина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В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ячеславовна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, контактный телефон (4912) 97-19-90 доб. 2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en-US" w:bidi="ar-SA"/>
        </w:rPr>
        <w:t>93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Экспозици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я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</w:t>
      </w:r>
      <w:r>
        <w:rPr>
          <w:rFonts w:eastAsia="Times New Roman" w:cs="Times New Roman"/>
          <w:b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е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Ухоловский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 с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Кензино, ул. Аничкова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</w:t>
        <w:br/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11:1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18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2024 г.)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Ухоловский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 с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Погореловка, ул. Правобережная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11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11:30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18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2024 г.)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Рязанская область,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 xml:space="preserve"> Ухоловский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район, р.п. Ухолово,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 xml:space="preserve"> ул.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Ленина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 xml:space="preserve">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11:50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час.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18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2024 г.)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Ухоловский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, д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lang w:val="ru-RU" w:eastAsia="en-US" w:bidi="ar-SA"/>
        </w:rPr>
        <w:t xml:space="preserve">Калейминовка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eastAsia="en-US"/>
        </w:rPr>
        <w:t xml:space="preserve">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(с 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12:25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18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»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u w:val="single"/>
          <w:lang w:val="ru-RU" w:eastAsia="en-US" w:bidi="ar-SA"/>
        </w:rPr>
        <w:t>18</w:t>
      </w: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.10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.2024:</w:t>
      </w:r>
    </w:p>
    <w:p>
      <w:pPr>
        <w:pStyle w:val="Normal"/>
        <w:widowControl/>
        <w:suppressAutoHyphens w:val="true"/>
        <w:bidi w:val="0"/>
        <w:spacing w:lineRule="exact" w:line="283" w:before="0" w:afterAutospacing="0" w:after="0"/>
        <w:ind w:left="-567" w:right="-283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11:0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0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11:1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Ухоловский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</w:t>
        <w:br/>
        <w:t>с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Кензино, ул. Аничкова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widowControl/>
        <w:suppressAutoHyphens w:val="true"/>
        <w:bidi w:val="0"/>
        <w:spacing w:lineRule="exact" w:line="283" w:before="0" w:afterAutospacing="0" w:after="0"/>
        <w:ind w:left="-567" w:right="-283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- с 1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1:20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11:30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Ухоловский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</w:t>
        <w:br/>
        <w:t>с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Погореловка, ул. Правобережная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ориентир дом 11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11:35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 час. по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11:50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sz w:val="26"/>
          <w:szCs w:val="26"/>
          <w:lang w:eastAsia="en-US"/>
        </w:rPr>
        <w:t xml:space="preserve">час. 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Ухоловский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район,</w:t>
        <w:br/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 xml:space="preserve">р.п. Ухолово, ул.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Ленина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 xml:space="preserve">, д.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20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 xml:space="preserve"> (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здание администрации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);</w:t>
      </w:r>
    </w:p>
    <w:p>
      <w:pPr>
        <w:pStyle w:val="Normal"/>
        <w:widowControl/>
        <w:suppressAutoHyphens w:val="true"/>
        <w:bidi w:val="0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с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12: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en-US" w:bidi="ar-SA"/>
        </w:rPr>
        <w:t>15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час. по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6"/>
          <w:szCs w:val="26"/>
          <w:highlight w:val="white"/>
          <w:lang w:val="ru-RU" w:eastAsia="en-US" w:bidi="ar-SA"/>
        </w:rPr>
        <w:t>12:25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час. по адресу: Рязанская область,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Ухоловский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район,</w:t>
        <w:br/>
        <w:t>д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. </w:t>
      </w:r>
      <w:r>
        <w:rPr>
          <w:rFonts w:eastAsia="Times New Roman" w:cs="Times New Roman"/>
          <w:b w:val="false"/>
          <w:bCs/>
          <w:i w:val="false"/>
          <w:i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Калейминовка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eastAsia="en-US" w:bidi="ar-SA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при въезде в населенный пункт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z w:val="26"/>
          <w:szCs w:val="26"/>
          <w:highlight w:val="white"/>
          <w:lang w:val="ru-RU" w:eastAsia="en-US" w:bidi="ar-SA"/>
        </w:rPr>
        <w:t>).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октября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  <w:br/>
        <w:t>по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время окончания консультирования</w:t>
        <w:br/>
        <w:t>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октября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5">
    <w:name w:val="Table Grid Light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7">
    <w:name w:val="Plain Table 2"/>
    <w:basedOn w:val="870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5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8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8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9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1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1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4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6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LibreOffice/6.4.4.2$Linux_X86_64 LibreOffice_project/40$Build-2</Application>
  <Pages>2</Pages>
  <Words>707</Words>
  <Characters>4830</Characters>
  <CharactersWithSpaces>5506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2024-09-26T09:03:28Z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