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3D1C" w:rsidRDefault="00022A7E">
      <w:pPr>
        <w:keepNext/>
        <w:spacing w:before="0" w:after="0"/>
        <w:ind w:left="5670"/>
        <w:jc w:val="left"/>
      </w:pPr>
      <w:r>
        <w:t xml:space="preserve">Утвержден </w:t>
      </w:r>
    </w:p>
    <w:p w:rsidR="008B3D1C" w:rsidRDefault="00022A7E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8B3D1C" w:rsidRDefault="00022A7E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8B3D1C" w:rsidRDefault="00022A7E">
      <w:pPr>
        <w:keepNext/>
        <w:spacing w:before="0" w:after="0"/>
        <w:ind w:left="5670"/>
        <w:jc w:val="left"/>
      </w:pPr>
      <w:r>
        <w:t>Рязанской области</w:t>
      </w:r>
    </w:p>
    <w:p w:rsidR="008B3D1C" w:rsidRDefault="00D859D4">
      <w:pPr>
        <w:keepNext/>
        <w:tabs>
          <w:tab w:val="left" w:pos="5100"/>
        </w:tabs>
        <w:spacing w:before="0" w:after="0"/>
        <w:ind w:left="5670"/>
        <w:jc w:val="left"/>
      </w:pPr>
      <w:r>
        <w:t>от 20 декабря 2024 г.</w:t>
      </w:r>
      <w:r w:rsidR="00022A7E">
        <w:t xml:space="preserve"> №</w:t>
      </w:r>
      <w:r>
        <w:t xml:space="preserve"> 805-п</w:t>
      </w:r>
      <w:bookmarkStart w:id="0" w:name="_GoBack"/>
      <w:bookmarkEnd w:id="0"/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022A7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8B3D1C" w:rsidRDefault="00022A7E">
      <w:pPr>
        <w:pStyle w:val="a8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Селецкое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kern w:val="0"/>
          <w:sz w:val="32"/>
          <w:szCs w:val="32"/>
        </w:rPr>
        <w:t>сельское</w:t>
      </w:r>
      <w:r>
        <w:rPr>
          <w:color w:val="auto"/>
          <w:sz w:val="32"/>
          <w:szCs w:val="32"/>
        </w:rPr>
        <w:t xml:space="preserve"> поселение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Рыбновского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  </w:t>
      </w:r>
    </w:p>
    <w:p w:rsidR="008B3D1C" w:rsidRDefault="00022A7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B3D1C" w:rsidRDefault="008B3D1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8B3D1C" w:rsidRDefault="00022A7E">
      <w:pPr>
        <w:pStyle w:val="a8"/>
        <w:spacing w:after="6"/>
        <w:ind w:firstLine="0"/>
        <w:jc w:val="center"/>
        <w:rPr>
          <w:sz w:val="32"/>
          <w:szCs w:val="32"/>
        </w:rPr>
        <w:sectPr w:rsidR="008B3D1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8B3D1C" w:rsidRDefault="00022A7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установление таких зон требуется в связи с размещением данных объектов</w:t>
      </w:r>
    </w:p>
    <w:p w:rsidR="008B3D1C" w:rsidRDefault="008B3D1C">
      <w:pPr>
        <w:pStyle w:val="a8"/>
        <w:rPr>
          <w:color w:val="auto"/>
          <w:sz w:val="20"/>
          <w:szCs w:val="20"/>
        </w:rPr>
      </w:pPr>
    </w:p>
    <w:p w:rsidR="008B3D1C" w:rsidRDefault="00022A7E">
      <w:pPr>
        <w:pStyle w:val="a8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Селецкое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Рыбновского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енеральным планом не планируется размещение объектов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местного значения.</w:t>
      </w:r>
    </w:p>
    <w:p w:rsidR="008B3D1C" w:rsidRDefault="008B3D1C">
      <w:pPr>
        <w:pStyle w:val="a8"/>
        <w:rPr>
          <w:color w:val="auto"/>
          <w:sz w:val="20"/>
          <w:szCs w:val="20"/>
        </w:rPr>
      </w:pPr>
    </w:p>
    <w:p w:rsidR="008B3D1C" w:rsidRDefault="00022A7E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ектах регионального значения, объектах местного значения, за исключением линейных объектов</w:t>
      </w:r>
    </w:p>
    <w:p w:rsidR="008B3D1C" w:rsidRDefault="008B3D1C">
      <w:pPr>
        <w:pStyle w:val="a8"/>
        <w:rPr>
          <w:color w:val="auto"/>
          <w:szCs w:val="28"/>
        </w:rPr>
      </w:pPr>
    </w:p>
    <w:p w:rsidR="008B3D1C" w:rsidRDefault="00022A7E">
      <w:pPr>
        <w:pStyle w:val="a8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Селецкое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Рыбновского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szCs w:val="28"/>
        </w:rPr>
        <w:t xml:space="preserve"> </w:t>
      </w:r>
      <w:r>
        <w:rPr>
          <w:szCs w:val="28"/>
        </w:rPr>
        <w:t>учитывал</w:t>
      </w:r>
      <w:r>
        <w:rPr>
          <w:szCs w:val="28"/>
        </w:rPr>
        <w:t>ось:</w:t>
      </w:r>
    </w:p>
    <w:p w:rsidR="008B3D1C" w:rsidRDefault="00022A7E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</w:t>
      </w:r>
      <w:r>
        <w:rPr>
          <w:szCs w:val="28"/>
        </w:rPr>
        <w:t xml:space="preserve"> сложивш</w:t>
      </w:r>
      <w:r>
        <w:rPr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szCs w:val="28"/>
        </w:rPr>
        <w:t>е</w:t>
      </w:r>
      <w:r>
        <w:rPr>
          <w:szCs w:val="28"/>
        </w:rPr>
        <w:t xml:space="preserve"> земельных </w:t>
      </w:r>
      <w:r>
        <w:rPr>
          <w:szCs w:val="28"/>
        </w:rPr>
        <w:t>участков;</w:t>
      </w:r>
    </w:p>
    <w:p w:rsidR="008B3D1C" w:rsidRDefault="00022A7E">
      <w:pPr>
        <w:pStyle w:val="a8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 xml:space="preserve">- рациональные формы расселения </w:t>
      </w:r>
      <w:r>
        <w:rPr>
          <w:szCs w:val="28"/>
        </w:rPr>
        <w:t>населения;</w:t>
      </w:r>
    </w:p>
    <w:p w:rsidR="008B3D1C" w:rsidRDefault="00022A7E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8B3D1C" w:rsidRDefault="00022A7E">
      <w:pPr>
        <w:pStyle w:val="a8"/>
        <w:numPr>
          <w:ilvl w:val="0"/>
          <w:numId w:val="1"/>
        </w:numPr>
        <w:ind w:firstLine="624"/>
      </w:pPr>
      <w:r>
        <w:t xml:space="preserve">- структурирование сети общественного обслуживания по принципу привлекательности для различных групп населения дифференцированных </w:t>
      </w:r>
      <w:r>
        <w:t>видов предложений в зависимости от предпочтений;</w:t>
      </w:r>
    </w:p>
    <w:p w:rsidR="008B3D1C" w:rsidRDefault="00022A7E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8B3D1C" w:rsidRDefault="00022A7E">
      <w:pPr>
        <w:pStyle w:val="a8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>В результате функционального зонировани</w:t>
      </w:r>
      <w:r>
        <w:rPr>
          <w:rStyle w:val="20"/>
          <w:iCs/>
          <w:spacing w:val="5"/>
          <w:szCs w:val="28"/>
        </w:rPr>
        <w:t xml:space="preserve">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Селецкое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Рыбновского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8B3D1C" w:rsidRDefault="00022A7E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83"/>
        <w:gridCol w:w="2326"/>
        <w:gridCol w:w="5046"/>
      </w:tblGrid>
      <w:tr w:rsidR="008B3D1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</w:t>
            </w:r>
            <w:r>
              <w:t>азначение</w:t>
            </w:r>
          </w:p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8B3D1C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</w:tr>
      <w:tr w:rsidR="008B3D1C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5715" t="5715" r="4445" b="444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55pt;height:30.3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</w:t>
            </w:r>
            <w:r>
              <w:rPr>
                <w:rFonts w:eastAsia="XO Thames;Times New Roman"/>
                <w:sz w:val="24"/>
                <w:lang w:eastAsia="ar-SA"/>
              </w:rPr>
              <w:t>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8B3D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largest"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700000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8ffff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sz w:val="24"/>
                <w:highlight w:val="white"/>
                <w:shd w:val="clear" w:color="auto" w:fill="FFFFFF"/>
              </w:rPr>
              <w:t>Зона исторической застройки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sz w:val="24"/>
                <w:highlight w:val="white"/>
                <w:shd w:val="clear" w:color="auto" w:fill="FFFFFF"/>
              </w:rPr>
              <w:t xml:space="preserve">Зона исторической застройки устанавливается для сохранения и восстановления целостности достопримечательного места и регулирования застройки. </w:t>
            </w:r>
            <w:proofErr w:type="gramStart"/>
            <w:r>
              <w:rPr>
                <w:sz w:val="24"/>
                <w:highlight w:val="white"/>
                <w:shd w:val="clear" w:color="auto" w:fill="FFFFFF"/>
              </w:rPr>
              <w:t xml:space="preserve">Границы зоны определены согласно </w:t>
            </w:r>
            <w:r>
              <w:rPr>
                <w:spacing w:val="2"/>
                <w:sz w:val="24"/>
                <w:highlight w:val="white"/>
                <w:shd w:val="clear" w:color="auto" w:fill="FFFFFF"/>
                <w:lang w:eastAsia="ru-RU"/>
              </w:rPr>
              <w:t>прик</w:t>
            </w:r>
            <w:r>
              <w:rPr>
                <w:sz w:val="24"/>
                <w:highlight w:val="white"/>
                <w:shd w:val="clear" w:color="auto" w:fill="FFFFFF"/>
              </w:rPr>
              <w:t>азу</w:t>
            </w:r>
            <w:r>
              <w:rPr>
                <w:sz w:val="24"/>
              </w:rPr>
              <w:t xml:space="preserve"> Министерства культуры Российской Федерации от 17.09.2015 № 2431 «О включе</w:t>
            </w:r>
            <w:r>
              <w:rPr>
                <w:sz w:val="24"/>
              </w:rPr>
              <w:t xml:space="preserve">нии выявленного объекта культурного наследия «Есенинская Русь - место, связанное с жизнью и творчеством поэта С.А. Есенина» (Рязанская область, </w:t>
            </w:r>
            <w:proofErr w:type="spellStart"/>
            <w:r>
              <w:rPr>
                <w:sz w:val="24"/>
              </w:rPr>
              <w:t>Рыбновский</w:t>
            </w:r>
            <w:proofErr w:type="spellEnd"/>
            <w:r>
              <w:rPr>
                <w:sz w:val="24"/>
              </w:rPr>
              <w:t xml:space="preserve"> район, Рязанский район, г. Рязань) в единый государственный реестр объектов культурного наследия (пам</w:t>
            </w:r>
            <w:r>
              <w:rPr>
                <w:sz w:val="24"/>
              </w:rPr>
              <w:t>ятников истории и культуры) народов Российской Федерации в качестве объекта культурного наследия федерального значения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z w:val="24"/>
              </w:rPr>
              <w:t xml:space="preserve"> границ его территории».</w:t>
            </w:r>
          </w:p>
        </w:tc>
      </w:tr>
      <w:tr w:rsidR="008B3D1C">
        <w:trPr>
          <w:trHeight w:val="8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largest"/>
                      <wp:docPr id="3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006a91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транспортной инфраструктуры предназначена для размещения</w:t>
            </w:r>
            <w:r>
              <w:t xml:space="preserve"> зданий и сооружений автомобильного транспорта.</w:t>
            </w:r>
          </w:p>
        </w:tc>
      </w:tr>
      <w:tr w:rsidR="008B3D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largest"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Зоны </w:t>
            </w:r>
            <w:proofErr w:type="spellStart"/>
            <w:r>
              <w:t>сельскохозяйстве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использования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</w:t>
            </w:r>
            <w:r>
              <w:t xml:space="preserve"> также предназначенных для этих целей.</w:t>
            </w:r>
          </w:p>
        </w:tc>
      </w:tr>
      <w:tr w:rsidR="008B3D1C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bothSides"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8B3D1C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largest"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kern w:val="0"/>
                <w:lang w:eastAsia="ru-RU"/>
              </w:rPr>
              <w:t xml:space="preserve">Зона озелененных территорий </w:t>
            </w:r>
            <w:r>
              <w:rPr>
                <w:rStyle w:val="20"/>
                <w:color w:val="auto"/>
                <w:kern w:val="0"/>
                <w:lang w:eastAsia="ru-RU"/>
              </w:rPr>
              <w:t>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8B3D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Зона кладбищ предназначена для размещения кладбищ, крематориев, мест захоронения, для которых необходима организация </w:t>
            </w:r>
            <w:r>
              <w:t>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  <w:tr w:rsidR="008B3D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2955" cy="386715"/>
                      <wp:effectExtent l="0" t="5715" r="0" b="4445"/>
                      <wp:wrapSquare wrapText="largest"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D0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d0d0ff" stroked="t" style="position:absolute;margin-left:18.25pt;margin-top:3.95pt;width:61.55pt;height:30.35pt;v-text-anchor:middle;mso-position-horizontal:center">
                      <w10:wrap type="none"/>
                      <v:fill o:detectmouseclick="t" type="solid" color2="#2f2f00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режимных территорий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numPr>
                <w:ilvl w:val="0"/>
                <w:numId w:val="2"/>
              </w:numPr>
              <w:suppressLineNumbers/>
              <w:spacing w:before="0" w:after="0"/>
              <w:ind w:left="113"/>
              <w:contextualSpacing/>
              <w:jc w:val="left"/>
            </w:pPr>
            <w:r>
              <w:rPr>
                <w:rFonts w:eastAsia="Arial"/>
                <w:spacing w:val="4"/>
                <w:kern w:val="0"/>
                <w:lang w:eastAsia="ar-SA"/>
              </w:rPr>
              <w:t xml:space="preserve">Зона  режимных  территорий предназначена для размещения объектов, необходимых для подготовки и </w:t>
            </w:r>
            <w:r>
              <w:rPr>
                <w:rFonts w:eastAsia="Arial"/>
                <w:spacing w:val="4"/>
                <w:kern w:val="0"/>
                <w:lang w:eastAsia="ar-SA"/>
              </w:rPr>
              <w:t>поддержания в боевой готовности Вооруженных Сил Российской Федерации, воинских формирований и органов управлений ими, проведение воинских учений и других мероприятий, направленных на обеспечение боевой готовности воинских частей.</w:t>
            </w:r>
          </w:p>
        </w:tc>
      </w:tr>
    </w:tbl>
    <w:p w:rsidR="008B3D1C" w:rsidRDefault="008B3D1C">
      <w:pPr>
        <w:pStyle w:val="a8"/>
        <w:numPr>
          <w:ilvl w:val="0"/>
          <w:numId w:val="1"/>
        </w:numPr>
        <w:ind w:firstLine="709"/>
        <w:rPr>
          <w:sz w:val="20"/>
          <w:szCs w:val="20"/>
        </w:rPr>
      </w:pPr>
    </w:p>
    <w:p w:rsidR="008B3D1C" w:rsidRDefault="00022A7E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lastRenderedPageBreak/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</w:t>
      </w:r>
      <w:r>
        <w:t>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Селецкое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Рыбновского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8B3D1C" w:rsidRDefault="00022A7E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Селецкое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Рыбновского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8B3D1C" w:rsidRDefault="00022A7E">
      <w:pPr>
        <w:pStyle w:val="a8"/>
        <w:jc w:val="right"/>
        <w:rPr>
          <w:sz w:val="32"/>
          <w:szCs w:val="32"/>
        </w:rPr>
      </w:pPr>
      <w:r>
        <w:t xml:space="preserve">Таблица </w:t>
      </w:r>
      <w:r>
        <w:t>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8"/>
        <w:gridCol w:w="1150"/>
        <w:gridCol w:w="1815"/>
        <w:gridCol w:w="1806"/>
        <w:gridCol w:w="1603"/>
      </w:tblGrid>
      <w:tr w:rsidR="008B3D1C">
        <w:trPr>
          <w:trHeight w:val="497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ind w:left="113"/>
              <w:rPr>
                <w:sz w:val="32"/>
                <w:szCs w:val="32"/>
              </w:rPr>
            </w:pPr>
            <w:r>
              <w:t>Наименование</w:t>
            </w:r>
          </w:p>
          <w:p w:rsidR="008B3D1C" w:rsidRDefault="00022A7E">
            <w:pPr>
              <w:pStyle w:val="af"/>
              <w:widowControl w:val="0"/>
              <w:ind w:left="113"/>
              <w:rPr>
                <w:sz w:val="32"/>
                <w:szCs w:val="32"/>
              </w:rPr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Максимальный коэффициент застройки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Максимальный коэффициент пло</w:t>
            </w:r>
            <w:r>
              <w:t>т</w:t>
            </w:r>
            <w:r>
              <w:t>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Максимальная </w:t>
            </w:r>
            <w:r>
              <w:t>этажность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89,17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0,</w:t>
            </w:r>
            <w:r>
              <w:t>2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8B3D1C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8B3D1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8B3D1C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исторической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1845,04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 xml:space="preserve">Зона </w:t>
            </w:r>
            <w:r>
              <w:t>транспортной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73,68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86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1382,25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4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 xml:space="preserve">Зона </w:t>
            </w:r>
            <w:r>
              <w:rPr>
                <w:color w:val="auto"/>
              </w:rPr>
              <w:t>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24777,81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8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1,18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45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1,33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</w:pPr>
            <w:r>
              <w:t>-</w:t>
            </w:r>
          </w:p>
        </w:tc>
      </w:tr>
      <w:tr w:rsidR="008B3D1C">
        <w:trPr>
          <w:trHeight w:hRule="exact" w:val="45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режимных территорий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875</w:t>
            </w:r>
            <w:r>
              <w:rPr>
                <w:shd w:val="clear" w:color="auto" w:fill="FFFFFF"/>
              </w:rPr>
              <w:t>5,26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B3D1C">
        <w:trPr>
          <w:trHeight w:hRule="exact" w:val="6149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lastRenderedPageBreak/>
              <w:t>Примечания: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</w:t>
            </w:r>
            <w:r>
              <w:rPr>
                <w:color w:val="auto"/>
                <w:sz w:val="24"/>
              </w:rPr>
              <w:t>насаждений, площадок и других объектов благоустройства.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</w:t>
            </w:r>
            <w:r>
              <w:rPr>
                <w:sz w:val="24"/>
              </w:rPr>
              <w:t>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>3. Надземным этажом считается этаж с отметкой пола пом</w:t>
            </w:r>
            <w:r>
              <w:rPr>
                <w:color w:val="auto"/>
                <w:sz w:val="24"/>
              </w:rPr>
              <w:t xml:space="preserve">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</w:t>
            </w:r>
            <w:r>
              <w:rPr>
                <w:sz w:val="24"/>
              </w:rPr>
              <w:t>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</w:t>
            </w:r>
            <w:r>
              <w:rPr>
                <w:sz w:val="24"/>
              </w:rPr>
              <w:t>мер и другие).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8B3D1C" w:rsidRDefault="00022A7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</w:t>
            </w:r>
            <w:r>
              <w:rPr>
                <w:rFonts w:eastAsia="Calibri" w:cs="Calibri"/>
                <w:kern w:val="0"/>
                <w:sz w:val="24"/>
              </w:rPr>
              <w:t>ерритории.</w:t>
            </w:r>
          </w:p>
        </w:tc>
      </w:tr>
    </w:tbl>
    <w:p w:rsidR="008B3D1C" w:rsidRDefault="008B3D1C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8B3D1C" w:rsidRDefault="00022A7E">
      <w:pPr>
        <w:pStyle w:val="a8"/>
        <w:suppressLineNumbers/>
        <w:contextualSpacing/>
        <w:rPr>
          <w:szCs w:val="28"/>
        </w:rPr>
      </w:pPr>
      <w:r>
        <w:rPr>
          <w:rStyle w:val="-"/>
          <w:rFonts w:eastAsia="XO Thames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rFonts w:eastAsia="XO Thames"/>
          <w:color w:val="000000"/>
          <w:szCs w:val="28"/>
          <w:u w:val="none"/>
          <w:lang w:eastAsia="ar-SA"/>
        </w:rPr>
        <w:t>–</w:t>
      </w:r>
      <w:r>
        <w:rPr>
          <w:rStyle w:val="-"/>
          <w:rFonts w:eastAsia="XO Thames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rFonts w:eastAsia="XO Thames"/>
          <w:color w:val="000000"/>
          <w:szCs w:val="28"/>
          <w:u w:val="none"/>
        </w:rPr>
        <w:t>Селецкое</w:t>
      </w:r>
      <w:proofErr w:type="spellEnd"/>
      <w:r>
        <w:rPr>
          <w:rStyle w:val="-"/>
          <w:rFonts w:eastAsia="XO Thames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rFonts w:eastAsia="XO Thames"/>
          <w:color w:val="000000"/>
          <w:szCs w:val="28"/>
          <w:u w:val="none"/>
        </w:rPr>
        <w:t>Рыбновского</w:t>
      </w:r>
      <w:proofErr w:type="spellEnd"/>
      <w:r>
        <w:rPr>
          <w:rStyle w:val="-"/>
          <w:rFonts w:eastAsia="XO Thames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планируется размещение объекта регионального значения, </w:t>
      </w:r>
      <w:r>
        <w:rPr>
          <w:rStyle w:val="-"/>
          <w:rFonts w:eastAsia="XO Thames"/>
          <w:color w:val="000000"/>
          <w:szCs w:val="28"/>
          <w:u w:val="none"/>
        </w:rPr>
        <w:t>представл</w:t>
      </w:r>
      <w:r>
        <w:rPr>
          <w:rStyle w:val="-"/>
          <w:rFonts w:eastAsia="XO Thames"/>
          <w:color w:val="000000"/>
          <w:szCs w:val="28"/>
          <w:u w:val="none"/>
        </w:rPr>
        <w:t>енного</w:t>
      </w:r>
      <w:r>
        <w:rPr>
          <w:rStyle w:val="-"/>
          <w:rFonts w:eastAsia="XO Thames"/>
          <w:color w:val="000000"/>
          <w:szCs w:val="28"/>
          <w:u w:val="none"/>
        </w:rPr>
        <w:t xml:space="preserve"> в таблице 2.3.</w:t>
      </w:r>
    </w:p>
    <w:p w:rsidR="008B3D1C" w:rsidRDefault="00022A7E">
      <w:pPr>
        <w:pStyle w:val="a8"/>
        <w:suppressLineNumbers/>
        <w:contextualSpacing/>
        <w:jc w:val="right"/>
        <w:rPr>
          <w:sz w:val="32"/>
          <w:szCs w:val="32"/>
        </w:rPr>
      </w:pPr>
      <w:r>
        <w:t>Таблице 2.3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610"/>
        <w:gridCol w:w="1814"/>
        <w:gridCol w:w="1981"/>
        <w:gridCol w:w="1589"/>
        <w:gridCol w:w="1350"/>
        <w:gridCol w:w="1032"/>
      </w:tblGrid>
      <w:tr w:rsidR="008B3D1C">
        <w:trPr>
          <w:trHeight w:val="497"/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Наименование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Основные характеристики объ</w:t>
            </w:r>
            <w:r>
              <w:rPr>
                <w:color w:val="auto"/>
              </w:rPr>
              <w:t>екта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Местоположение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Зона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с особыми условиями использования территории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auto"/>
              </w:rPr>
              <w:t>Ф</w:t>
            </w:r>
            <w:r>
              <w:rPr>
                <w:color w:val="auto"/>
              </w:rPr>
              <w:t>ункцио-нальн</w:t>
            </w:r>
            <w:r>
              <w:rPr>
                <w:color w:val="auto"/>
              </w:rPr>
              <w:t>ая</w:t>
            </w:r>
            <w:proofErr w:type="spellEnd"/>
            <w:proofErr w:type="gramEnd"/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rPr>
                <w:color w:val="auto"/>
              </w:rPr>
              <w:t>зона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r>
              <w:t>Статус объекта</w:t>
            </w:r>
          </w:p>
        </w:tc>
      </w:tr>
      <w:tr w:rsidR="008B3D1C">
        <w:trPr>
          <w:trHeight w:val="167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110"/>
              <w:widowControl w:val="0"/>
              <w:jc w:val="center"/>
            </w:pPr>
            <w:r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57"/>
              <w:jc w:val="left"/>
            </w:pPr>
            <w:r>
              <w:rPr>
                <w:rStyle w:val="70"/>
              </w:rPr>
              <w:t xml:space="preserve">Строительство </w:t>
            </w:r>
            <w:proofErr w:type="gramStart"/>
            <w:r>
              <w:rPr>
                <w:rStyle w:val="70"/>
              </w:rPr>
              <w:t>автомобиль-ной</w:t>
            </w:r>
            <w:proofErr w:type="gramEnd"/>
            <w:r>
              <w:rPr>
                <w:rStyle w:val="70"/>
              </w:rPr>
              <w:t xml:space="preserve"> дороги </w:t>
            </w:r>
            <w:r>
              <w:rPr>
                <w:rStyle w:val="70"/>
              </w:rPr>
              <w:t>«</w:t>
            </w:r>
            <w:proofErr w:type="spellStart"/>
            <w:r>
              <w:rPr>
                <w:rStyle w:val="70"/>
              </w:rPr>
              <w:t>Шехмино-Сельцы</w:t>
            </w:r>
            <w:proofErr w:type="spellEnd"/>
            <w:r>
              <w:rPr>
                <w:rStyle w:val="70"/>
              </w:rPr>
              <w:t>» (2 и 3 пусковые комплексы)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t xml:space="preserve">Категория автомобильной дороги </w:t>
            </w:r>
            <w:r>
              <w:rPr>
                <w:lang w:val="en-US"/>
              </w:rPr>
              <w:t>V</w:t>
            </w:r>
            <w:r w:rsidRPr="00D859D4">
              <w:t xml:space="preserve">, </w:t>
            </w:r>
            <w:r>
              <w:rPr>
                <w:rStyle w:val="70"/>
              </w:rPr>
              <w:t>протяженностью 10,4 км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</w:rPr>
            </w:pPr>
            <w:r>
              <w:t>Рязанская область</w:t>
            </w:r>
          </w:p>
          <w:p w:rsidR="008B3D1C" w:rsidRDefault="00022A7E">
            <w:pPr>
              <w:pStyle w:val="af"/>
              <w:widowControl w:val="0"/>
              <w:rPr>
                <w:sz w:val="32"/>
                <w:szCs w:val="32"/>
              </w:rPr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Рыбновский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</w:t>
            </w:r>
            <w:r>
              <w:rPr>
                <w:rStyle w:val="20"/>
              </w:rPr>
              <w:t>район,</w:t>
            </w:r>
          </w:p>
          <w:p w:rsidR="008B3D1C" w:rsidRDefault="008B3D1C">
            <w:pPr>
              <w:pStyle w:val="af"/>
              <w:widowControl w:val="0"/>
              <w:rPr>
                <w:rStyle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kern w:val="0"/>
                <w:lang w:eastAsia="en-US"/>
              </w:rPr>
            </w:pPr>
            <w:proofErr w:type="gramStart"/>
            <w:r>
              <w:rPr>
                <w:kern w:val="0"/>
                <w:lang w:eastAsia="en-US"/>
              </w:rPr>
              <w:t>Придорожные полосы (согласно</w:t>
            </w:r>
            <w:proofErr w:type="gramEnd"/>
          </w:p>
          <w:p w:rsidR="008B3D1C" w:rsidRDefault="00022A7E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статьи 26 Федерального закона</w:t>
            </w:r>
          </w:p>
          <w:p w:rsidR="008B3D1C" w:rsidRDefault="00022A7E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 08.11.2007</w:t>
            </w:r>
          </w:p>
          <w:p w:rsidR="008B3D1C" w:rsidRDefault="00022A7E">
            <w:pPr>
              <w:pStyle w:val="af"/>
              <w:widowControl w:val="0"/>
              <w:rPr>
                <w:kern w:val="0"/>
                <w:lang w:eastAsia="en-US"/>
              </w:rPr>
            </w:pPr>
            <w:proofErr w:type="gramStart"/>
            <w:r>
              <w:rPr>
                <w:kern w:val="0"/>
                <w:lang w:eastAsia="en-US"/>
              </w:rPr>
              <w:t>№ 257-ФЗ)</w:t>
            </w:r>
            <w:proofErr w:type="gram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8B3D1C" w:rsidRDefault="00022A7E">
            <w:pPr>
              <w:pStyle w:val="af"/>
              <w:widowControl w:val="0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</w:tbl>
    <w:p w:rsidR="008B3D1C" w:rsidRDefault="008B3D1C">
      <w:pPr>
        <w:pStyle w:val="a8"/>
        <w:suppressLineNumbers/>
        <w:contextualSpacing/>
        <w:rPr>
          <w:szCs w:val="28"/>
        </w:rPr>
      </w:pPr>
    </w:p>
    <w:p w:rsidR="008B3D1C" w:rsidRDefault="00022A7E">
      <w:pPr>
        <w:pStyle w:val="a8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>Планируемые</w:t>
      </w:r>
      <w:r>
        <w:rPr>
          <w:rStyle w:val="-"/>
          <w:color w:val="000000"/>
          <w:szCs w:val="28"/>
          <w:u w:val="none"/>
        </w:rPr>
        <w:t xml:space="preserve"> объекты регионального значения отображены на карте функциональных зон поселения.</w:t>
      </w:r>
    </w:p>
    <w:p w:rsidR="008B3D1C" w:rsidRDefault="00022A7E">
      <w:pPr>
        <w:pStyle w:val="a8"/>
        <w:keepNext/>
        <w:suppressLineNumbers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iCs/>
          <w:color w:val="000000"/>
          <w:szCs w:val="28"/>
          <w:u w:val="none"/>
          <w:lang w:eastAsia="ar-SA"/>
        </w:rPr>
        <w:t>–</w:t>
      </w:r>
      <w:r>
        <w:rPr>
          <w:rStyle w:val="-"/>
          <w:iCs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iCs/>
          <w:color w:val="000000"/>
          <w:szCs w:val="28"/>
          <w:u w:val="none"/>
        </w:rPr>
        <w:t>Селецкое</w:t>
      </w:r>
      <w:proofErr w:type="spellEnd"/>
      <w:r>
        <w:rPr>
          <w:rStyle w:val="-"/>
          <w:iCs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iCs/>
          <w:color w:val="000000"/>
          <w:szCs w:val="28"/>
          <w:u w:val="none"/>
        </w:rPr>
        <w:t>Рыбновского</w:t>
      </w:r>
      <w:proofErr w:type="spellEnd"/>
      <w:r>
        <w:rPr>
          <w:rStyle w:val="-"/>
          <w:iCs/>
          <w:color w:val="000000"/>
          <w:szCs w:val="28"/>
          <w:u w:val="none"/>
        </w:rPr>
        <w:t xml:space="preserve"> муниципального района Рязанской области утвержденными </w:t>
      </w:r>
      <w:r>
        <w:rPr>
          <w:rStyle w:val="-"/>
          <w:iCs/>
          <w:color w:val="000000"/>
          <w:szCs w:val="28"/>
          <w:u w:val="none"/>
        </w:rPr>
        <w:lastRenderedPageBreak/>
        <w:t>документами территориального планирования не планируется размещение объектов федерального значения, объектов местного значения.</w:t>
      </w:r>
    </w:p>
    <w:sectPr w:rsidR="008B3D1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7E" w:rsidRDefault="00022A7E">
      <w:pPr>
        <w:spacing w:before="0" w:after="0"/>
      </w:pPr>
      <w:r>
        <w:separator/>
      </w:r>
    </w:p>
  </w:endnote>
  <w:endnote w:type="continuationSeparator" w:id="0">
    <w:p w:rsidR="00022A7E" w:rsidRDefault="00022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XO Thames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7E" w:rsidRDefault="00022A7E">
      <w:pPr>
        <w:spacing w:before="0" w:after="0"/>
      </w:pPr>
      <w:r>
        <w:separator/>
      </w:r>
    </w:p>
  </w:footnote>
  <w:footnote w:type="continuationSeparator" w:id="0">
    <w:p w:rsidR="00022A7E" w:rsidRDefault="00022A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8B3D1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022A7E">
    <w:pPr>
      <w:pStyle w:val="af2"/>
    </w:pPr>
    <w:r>
      <w:fldChar w:fldCharType="begin"/>
    </w:r>
    <w:r>
      <w:instrText>PAGE</w:instrText>
    </w:r>
    <w:r>
      <w:fldChar w:fldCharType="separate"/>
    </w:r>
    <w:r w:rsidR="00E945A7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1C" w:rsidRDefault="00022A7E">
    <w:pPr>
      <w:pStyle w:val="af2"/>
    </w:pPr>
    <w:r>
      <w:fldChar w:fldCharType="begin"/>
    </w:r>
    <w:r>
      <w:instrText>PAGE</w:instrText>
    </w:r>
    <w:r>
      <w:fldChar w:fldCharType="separate"/>
    </w:r>
    <w:r w:rsidR="00E945A7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3D0"/>
    <w:multiLevelType w:val="multilevel"/>
    <w:tmpl w:val="51220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55C8C"/>
    <w:multiLevelType w:val="multilevel"/>
    <w:tmpl w:val="3F3C3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E31203"/>
    <w:multiLevelType w:val="multilevel"/>
    <w:tmpl w:val="4274C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3101F3F"/>
    <w:multiLevelType w:val="multilevel"/>
    <w:tmpl w:val="E3D26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D1C"/>
    <w:rsid w:val="00022A7E"/>
    <w:rsid w:val="008B3D1C"/>
    <w:rsid w:val="00D859D4"/>
    <w:rsid w:val="00E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497</cp:revision>
  <cp:lastPrinted>2024-12-23T13:11:00Z</cp:lastPrinted>
  <dcterms:created xsi:type="dcterms:W3CDTF">2024-01-19T12:41:00Z</dcterms:created>
  <dcterms:modified xsi:type="dcterms:W3CDTF">2024-12-23T13:11:00Z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