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F72" w:rsidRDefault="005F36B1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3F72" w:rsidRDefault="005F36B1">
      <w:pPr>
        <w:pStyle w:val="afb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8C3F72" w:rsidRDefault="005F36B1">
      <w:pPr>
        <w:pStyle w:val="afb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8C3F72" w:rsidRDefault="008C3F72">
      <w:pPr>
        <w:pStyle w:val="afb"/>
        <w:jc w:val="center"/>
        <w:rPr>
          <w:rFonts w:ascii="Times New Roman" w:hAnsi="Times New Roman"/>
          <w:spacing w:val="-20"/>
          <w:sz w:val="31"/>
        </w:rPr>
      </w:pPr>
    </w:p>
    <w:p w:rsidR="008C3F72" w:rsidRDefault="008C3F72">
      <w:pPr>
        <w:pStyle w:val="afb"/>
        <w:jc w:val="center"/>
        <w:rPr>
          <w:rFonts w:ascii="Times New Roman" w:hAnsi="Times New Roman"/>
          <w:spacing w:val="-20"/>
          <w:sz w:val="31"/>
        </w:rPr>
      </w:pPr>
    </w:p>
    <w:p w:rsidR="008C3F72" w:rsidRDefault="005F36B1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8C3F72" w:rsidRDefault="008C3F72">
      <w:pPr>
        <w:tabs>
          <w:tab w:val="left" w:pos="709"/>
        </w:tabs>
        <w:jc w:val="center"/>
        <w:rPr>
          <w:sz w:val="28"/>
        </w:rPr>
      </w:pPr>
    </w:p>
    <w:p w:rsidR="008C3F72" w:rsidRDefault="008C3F72">
      <w:pPr>
        <w:tabs>
          <w:tab w:val="left" w:pos="709"/>
        </w:tabs>
        <w:jc w:val="center"/>
        <w:rPr>
          <w:sz w:val="28"/>
        </w:rPr>
      </w:pPr>
    </w:p>
    <w:p w:rsidR="008C3F72" w:rsidRDefault="005F36B1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8E2FD8">
        <w:rPr>
          <w:sz w:val="28"/>
        </w:rPr>
        <w:t>19</w:t>
      </w:r>
      <w:r>
        <w:rPr>
          <w:sz w:val="28"/>
        </w:rPr>
        <w:t>»</w:t>
      </w:r>
      <w:r w:rsidR="008E2FD8">
        <w:rPr>
          <w:sz w:val="28"/>
        </w:rPr>
        <w:t xml:space="preserve"> декабря </w:t>
      </w:r>
      <w:r>
        <w:rPr>
          <w:sz w:val="28"/>
        </w:rPr>
        <w:t xml:space="preserve">2024 г.                                                              </w:t>
      </w:r>
      <w:r w:rsidR="008E2FD8">
        <w:rPr>
          <w:sz w:val="28"/>
        </w:rPr>
        <w:tab/>
      </w:r>
      <w:r w:rsidR="008E2FD8">
        <w:rPr>
          <w:sz w:val="28"/>
        </w:rPr>
        <w:tab/>
        <w:t xml:space="preserve">  </w:t>
      </w:r>
      <w:r>
        <w:rPr>
          <w:sz w:val="28"/>
        </w:rPr>
        <w:t xml:space="preserve">          № </w:t>
      </w:r>
      <w:r w:rsidR="008E2FD8">
        <w:rPr>
          <w:sz w:val="28"/>
        </w:rPr>
        <w:t>777-п</w:t>
      </w:r>
    </w:p>
    <w:p w:rsidR="008C3F72" w:rsidRDefault="008C3F72">
      <w:pPr>
        <w:tabs>
          <w:tab w:val="left" w:pos="709"/>
        </w:tabs>
        <w:jc w:val="both"/>
        <w:rPr>
          <w:sz w:val="28"/>
        </w:rPr>
      </w:pPr>
    </w:p>
    <w:tbl>
      <w:tblPr>
        <w:tblW w:w="9929" w:type="dxa"/>
        <w:tblLook w:val="04A0" w:firstRow="1" w:lastRow="0" w:firstColumn="1" w:lastColumn="0" w:noHBand="0" w:noVBand="1"/>
      </w:tblPr>
      <w:tblGrid>
        <w:gridCol w:w="9929"/>
      </w:tblGrid>
      <w:tr w:rsidR="008C3F72">
        <w:trPr>
          <w:trHeight w:val="1515"/>
        </w:trPr>
        <w:tc>
          <w:tcPr>
            <w:tcW w:w="9929" w:type="dxa"/>
          </w:tcPr>
          <w:p w:rsidR="008C3F72" w:rsidRDefault="008C3F72">
            <w:pPr>
              <w:tabs>
                <w:tab w:val="left" w:pos="709"/>
              </w:tabs>
              <w:jc w:val="center"/>
              <w:rPr>
                <w:sz w:val="28"/>
                <w:highlight w:val="white"/>
              </w:rPr>
            </w:pPr>
          </w:p>
          <w:p w:rsidR="008C3F72" w:rsidRDefault="005F36B1">
            <w:pPr>
              <w:tabs>
                <w:tab w:val="left" w:pos="709"/>
              </w:tabs>
              <w:jc w:val="center"/>
              <w:rPr>
                <w:rFonts w:eastAsia="Times New Roman" w:cs="Times New Roman"/>
                <w:sz w:val="28"/>
              </w:rPr>
            </w:pPr>
            <w:bookmarkStart w:id="0" w:name="_GoBack"/>
            <w:r>
              <w:rPr>
                <w:sz w:val="28"/>
                <w:highlight w:val="white"/>
              </w:rPr>
              <w:t xml:space="preserve">О подготовке проекта правил землепользования и застройки муниципального образования </w:t>
            </w:r>
            <w:r>
              <w:rPr>
                <w:color w:val="000000" w:themeColor="text1"/>
                <w:sz w:val="28"/>
                <w:highlight w:val="white"/>
              </w:rPr>
              <w:t>–</w:t>
            </w:r>
            <w:r>
              <w:rPr>
                <w:color w:val="000000" w:themeColor="text1"/>
                <w:sz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</w:rPr>
              <w:t>Касимовский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 муниципальный округ Рязанской области применительно к территориям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Погостинского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Гиблицкого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 сельских округов </w:t>
            </w:r>
            <w:r>
              <w:rPr>
                <w:rFonts w:eastAsia="Times New Roman" w:cs="Times New Roman"/>
                <w:color w:val="000000" w:themeColor="text1"/>
                <w:sz w:val="28"/>
              </w:rPr>
              <w:br/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</w:rPr>
              <w:t>Касимовского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 района Рязанской области</w:t>
            </w:r>
          </w:p>
          <w:bookmarkEnd w:id="0"/>
          <w:p w:rsidR="008C3F72" w:rsidRDefault="008C3F72">
            <w:pPr>
              <w:tabs>
                <w:tab w:val="left" w:pos="709"/>
              </w:tabs>
              <w:jc w:val="center"/>
              <w:rPr>
                <w:sz w:val="28"/>
                <w:highlight w:val="white"/>
              </w:rPr>
            </w:pPr>
          </w:p>
        </w:tc>
      </w:tr>
      <w:tr w:rsidR="008C3F72">
        <w:tc>
          <w:tcPr>
            <w:tcW w:w="9929" w:type="dxa"/>
          </w:tcPr>
          <w:p w:rsidR="008C3F72" w:rsidRDefault="005F36B1">
            <w:pPr>
              <w:ind w:firstLine="709"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На осно</w:t>
            </w:r>
            <w:r>
              <w:rPr>
                <w:sz w:val="28"/>
                <w:highlight w:val="white"/>
              </w:rPr>
              <w:t xml:space="preserve">вании статьи 31 Градостроительного кодекса Российской Федерации, статьи 2 Закона Рязанской области от 28.12.2018 № 106-ОЗ </w:t>
            </w:r>
            <w:r>
              <w:rPr>
                <w:sz w:val="28"/>
                <w:highlight w:val="white"/>
              </w:rPr>
              <w:br/>
              <w:t>«О перераспределении отдельных полномочий в области градостроительной деятельности между органами местного самоуправления муниципальн</w:t>
            </w:r>
            <w:r>
              <w:rPr>
                <w:sz w:val="28"/>
                <w:highlight w:val="white"/>
              </w:rPr>
              <w:t>ых образовани</w:t>
            </w:r>
            <w:r>
              <w:rPr>
                <w:color w:val="000000" w:themeColor="text1"/>
                <w:sz w:val="28"/>
                <w:highlight w:val="white"/>
              </w:rPr>
              <w:t>й Рязанской области и органами государственной власти Рязанской области», с учетом решения комиссии п</w:t>
            </w:r>
            <w:r>
              <w:rPr>
                <w:color w:val="000000" w:themeColor="text1"/>
                <w:sz w:val="28"/>
              </w:rPr>
              <w:t>о территориальному планированию, землепользованию и застройке Рязанской области от 06</w:t>
            </w:r>
            <w:hyperlink r:id="rId8" w:tooltip="http://22.03.2024" w:history="1">
              <w:r>
                <w:rPr>
                  <w:color w:val="000000" w:themeColor="text1"/>
                  <w:sz w:val="28"/>
                </w:rPr>
                <w:t>.12.2024</w:t>
              </w:r>
            </w:hyperlink>
            <w:r>
              <w:rPr>
                <w:color w:val="000000" w:themeColor="text1"/>
                <w:sz w:val="28"/>
                <w:shd w:val="clear" w:color="FFFFFF" w:fill="FFFFFF" w:themeFill="background1"/>
              </w:rPr>
              <w:t xml:space="preserve">, </w:t>
            </w:r>
            <w:r>
              <w:rPr>
                <w:color w:val="000000" w:themeColor="text1"/>
                <w:sz w:val="28"/>
              </w:rPr>
              <w:t>руков</w:t>
            </w:r>
            <w:r>
              <w:rPr>
                <w:color w:val="000000" w:themeColor="text1"/>
                <w:sz w:val="28"/>
                <w:highlight w:val="white"/>
              </w:rPr>
              <w:t xml:space="preserve">одствуясь постановлением Правительства Рязанской области от 06.08.2008 № 153 </w:t>
            </w:r>
            <w:r>
              <w:rPr>
                <w:color w:val="000000" w:themeColor="text1"/>
                <w:sz w:val="28"/>
                <w:highlight w:val="white"/>
              </w:rPr>
              <w:br/>
              <w:t xml:space="preserve">«Об утверждении Положения о главном управлении архитектуры </w:t>
            </w:r>
            <w:r>
              <w:rPr>
                <w:color w:val="000000" w:themeColor="text1"/>
                <w:sz w:val="28"/>
                <w:highlight w:val="white"/>
              </w:rPr>
              <w:br/>
              <w:t xml:space="preserve">и градостроительства Рязанской области», главное управление архитектуры </w:t>
            </w:r>
            <w:r>
              <w:rPr>
                <w:color w:val="000000" w:themeColor="text1"/>
                <w:sz w:val="28"/>
                <w:highlight w:val="white"/>
              </w:rPr>
              <w:br/>
              <w:t>и градостроительства Рязанской</w:t>
            </w:r>
            <w:r>
              <w:rPr>
                <w:color w:val="000000" w:themeColor="text1"/>
                <w:sz w:val="28"/>
                <w:highlight w:val="white"/>
              </w:rPr>
              <w:t xml:space="preserve"> области ПОСТАНОВЛЯЕТ:</w:t>
            </w:r>
          </w:p>
          <w:p w:rsidR="008C3F72" w:rsidRDefault="005F36B1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709"/>
              <w:jc w:val="both"/>
              <w:rPr>
                <w:sz w:val="28"/>
                <w:highlight w:val="white"/>
              </w:rPr>
            </w:pPr>
            <w:r>
              <w:rPr>
                <w:color w:val="000000" w:themeColor="text1"/>
                <w:sz w:val="28"/>
                <w:highlight w:val="white"/>
              </w:rPr>
              <w:t xml:space="preserve">Приступить к подготовке проекта правил землепользования </w:t>
            </w:r>
            <w:r>
              <w:rPr>
                <w:color w:val="000000" w:themeColor="text1"/>
                <w:sz w:val="28"/>
                <w:highlight w:val="white"/>
              </w:rPr>
              <w:br/>
              <w:t xml:space="preserve">и застройки муниципального образования –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</w:rPr>
              <w:t>Касимовский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 муниципальный округ Рязанской области применительно к территориям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Погостинского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Гиблицкого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 сельских округов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</w:rPr>
              <w:t>Касимовского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 района Рязанской области</w:t>
            </w:r>
            <w:r>
              <w:rPr>
                <w:color w:val="000000" w:themeColor="text1"/>
                <w:sz w:val="28"/>
                <w:highlight w:val="white"/>
              </w:rPr>
              <w:t xml:space="preserve"> (далее – проект правил землепользования и застройки).</w:t>
            </w:r>
          </w:p>
          <w:p w:rsidR="008C3F72" w:rsidRDefault="005F36B1">
            <w:pPr>
              <w:numPr>
                <w:ilvl w:val="0"/>
                <w:numId w:val="1"/>
              </w:numPr>
              <w:ind w:left="0" w:firstLine="709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Поручить </w:t>
            </w:r>
            <w:r>
              <w:rPr>
                <w:sz w:val="28"/>
                <w:highlight w:val="white"/>
              </w:rPr>
              <w:t>государственному казенному учреждению Рязанской области «Центр градостроительного развития Рязанской области»</w:t>
            </w:r>
            <w:r>
              <w:rPr>
                <w:sz w:val="28"/>
                <w:szCs w:val="28"/>
                <w:highlight w:val="white"/>
              </w:rPr>
              <w:t xml:space="preserve"> разработать проект правил землепользования и застройки.</w:t>
            </w:r>
          </w:p>
          <w:p w:rsidR="008C3F72" w:rsidRDefault="005F36B1">
            <w:pPr>
              <w:numPr>
                <w:ilvl w:val="0"/>
                <w:numId w:val="1"/>
              </w:numPr>
              <w:ind w:left="0" w:firstLine="709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Заинтересованным лицам предложения по подготовке проекта </w:t>
            </w:r>
            <w:r>
              <w:rPr>
                <w:sz w:val="28"/>
                <w:highlight w:val="white"/>
              </w:rPr>
              <w:t>правил землепользования и застройки</w:t>
            </w:r>
            <w:r>
              <w:rPr>
                <w:sz w:val="28"/>
                <w:szCs w:val="28"/>
                <w:highlight w:val="white"/>
              </w:rPr>
              <w:t xml:space="preserve"> направлять в государственное казенное учреждение Рязанской области «Центр градостроительного развития Ряза</w:t>
            </w:r>
            <w:r>
              <w:rPr>
                <w:sz w:val="28"/>
                <w:szCs w:val="28"/>
                <w:highlight w:val="white"/>
              </w:rPr>
              <w:t>нской области» в течение двенадцати календарных дней с даты опубликования настоящего постановления</w:t>
            </w:r>
            <w:r>
              <w:rPr>
                <w:sz w:val="28"/>
                <w:highlight w:val="white"/>
              </w:rPr>
              <w:t>.</w:t>
            </w:r>
          </w:p>
          <w:p w:rsidR="008C3F72" w:rsidRDefault="005F36B1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709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lastRenderedPageBreak/>
              <w:t>Комиссии по территориальному планированию, землепользованию и застройке Рязанской области организовать рассмотрение проекта правил землепользования и застро</w:t>
            </w:r>
            <w:r>
              <w:rPr>
                <w:sz w:val="28"/>
                <w:szCs w:val="28"/>
                <w:highlight w:val="white"/>
              </w:rPr>
              <w:t xml:space="preserve">йки </w:t>
            </w:r>
            <w:r>
              <w:rPr>
                <w:color w:val="auto"/>
                <w:sz w:val="28"/>
                <w:szCs w:val="28"/>
              </w:rPr>
              <w:t>на общественных обсуждениях (публичных слушаниях) в установленный законодательством срок и порядке.</w:t>
            </w:r>
          </w:p>
          <w:p w:rsidR="008C3F72" w:rsidRDefault="005F36B1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709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color w:val="auto"/>
                <w:sz w:val="28"/>
                <w:szCs w:val="28"/>
              </w:rPr>
              <w:t xml:space="preserve">Отделу </w:t>
            </w:r>
            <w:r>
              <w:rPr>
                <w:sz w:val="28"/>
              </w:rPr>
              <w:t>кадровой работы и делопроизводства обеспечить:</w:t>
            </w:r>
          </w:p>
          <w:p w:rsidR="008C3F72" w:rsidRDefault="005F36B1">
            <w:pPr>
              <w:widowControl w:val="0"/>
              <w:ind w:firstLine="709"/>
              <w:jc w:val="both"/>
            </w:pPr>
            <w:r>
              <w:rPr>
                <w:sz w:val="28"/>
              </w:rPr>
              <w:t xml:space="preserve">1)    </w:t>
            </w:r>
            <w:r>
              <w:rPr>
                <w:color w:val="auto"/>
                <w:sz w:val="28"/>
                <w:szCs w:val="28"/>
              </w:rPr>
              <w:t>государственную регистрацию настоящего постановления в правовом департаменте аппарата Губерн</w:t>
            </w:r>
            <w:r>
              <w:rPr>
                <w:color w:val="auto"/>
                <w:sz w:val="28"/>
                <w:szCs w:val="28"/>
              </w:rPr>
              <w:t>атора и Правительства Рязанской области</w:t>
            </w:r>
            <w:r>
              <w:rPr>
                <w:sz w:val="28"/>
              </w:rPr>
              <w:t>;</w:t>
            </w:r>
          </w:p>
          <w:p w:rsidR="008C3F72" w:rsidRDefault="005F36B1">
            <w:pPr>
              <w:widowControl w:val="0"/>
              <w:ind w:firstLine="709"/>
              <w:jc w:val="both"/>
              <w:rPr>
                <w:color w:val="auto"/>
              </w:rPr>
            </w:pPr>
            <w:r>
              <w:rPr>
                <w:sz w:val="28"/>
              </w:rPr>
              <w:t xml:space="preserve">2) </w:t>
            </w:r>
            <w:r>
              <w:rPr>
                <w:sz w:val="28"/>
              </w:rPr>
              <w:t xml:space="preserve">опубликование настоящего постановления в </w:t>
            </w:r>
            <w:r>
              <w:rPr>
                <w:sz w:val="28"/>
              </w:rPr>
              <w:t>сетевом издании</w:t>
            </w:r>
            <w:r>
              <w:rPr>
                <w:sz w:val="28"/>
              </w:rPr>
              <w:t xml:space="preserve"> «Рязанские ведомости» (www.rv-ryazan.ru) и на официальном интернет-портале правовой информации (www.pravo.gov.ru)</w:t>
            </w:r>
            <w:r>
              <w:rPr>
                <w:color w:val="auto"/>
                <w:sz w:val="28"/>
                <w:szCs w:val="28"/>
              </w:rPr>
              <w:t>.</w:t>
            </w:r>
          </w:p>
          <w:p w:rsidR="008C3F72" w:rsidRDefault="005F36B1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Отделу информационного обеспечения градо</w:t>
            </w:r>
            <w:r>
              <w:rPr>
                <w:sz w:val="28"/>
                <w:highlight w:val="white"/>
              </w:rPr>
              <w:t>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 в сети «Интернет».</w:t>
            </w:r>
          </w:p>
          <w:p w:rsidR="008C3F72" w:rsidRDefault="005F36B1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 xml:space="preserve">Контроль </w:t>
            </w:r>
            <w:r>
              <w:rPr>
                <w:color w:val="000000" w:themeColor="text1"/>
                <w:sz w:val="28"/>
                <w:highlight w:val="white"/>
              </w:rPr>
              <w:t xml:space="preserve">за исполнением настоящего </w:t>
            </w:r>
            <w:r>
              <w:rPr>
                <w:sz w:val="28"/>
                <w:highlight w:val="white"/>
              </w:rPr>
              <w:t xml:space="preserve">постановления возложить </w:t>
            </w:r>
            <w:r>
              <w:rPr>
                <w:sz w:val="28"/>
                <w:highlight w:val="white"/>
              </w:rPr>
              <w:br/>
            </w:r>
            <w:r>
              <w:rPr>
                <w:color w:val="000000" w:themeColor="text1"/>
                <w:sz w:val="28"/>
                <w:szCs w:val="28"/>
              </w:rPr>
              <w:t xml:space="preserve">на </w:t>
            </w:r>
            <w:r>
              <w:rPr>
                <w:sz w:val="28"/>
                <w:highlight w:val="white"/>
              </w:rPr>
              <w:t>заместителя н</w:t>
            </w:r>
            <w:r>
              <w:rPr>
                <w:sz w:val="28"/>
                <w:highlight w:val="white"/>
              </w:rPr>
              <w:t xml:space="preserve">ачальника главного управления архитектуры </w:t>
            </w:r>
            <w:r>
              <w:rPr>
                <w:sz w:val="28"/>
                <w:highlight w:val="white"/>
              </w:rPr>
              <w:br/>
              <w:t>и градостроительства Рязанской области Т.С. Попкову.</w:t>
            </w:r>
          </w:p>
          <w:p w:rsidR="008C3F72" w:rsidRDefault="008C3F72">
            <w:pPr>
              <w:widowControl w:val="0"/>
              <w:ind w:firstLine="850"/>
              <w:jc w:val="both"/>
              <w:rPr>
                <w:sz w:val="28"/>
                <w:highlight w:val="white"/>
              </w:rPr>
            </w:pPr>
          </w:p>
          <w:p w:rsidR="008C3F72" w:rsidRDefault="008C3F72">
            <w:pPr>
              <w:widowControl w:val="0"/>
              <w:ind w:left="142"/>
              <w:jc w:val="both"/>
              <w:rPr>
                <w:sz w:val="28"/>
                <w:highlight w:val="white"/>
              </w:rPr>
            </w:pPr>
          </w:p>
        </w:tc>
      </w:tr>
      <w:tr w:rsidR="008C3F72">
        <w:tc>
          <w:tcPr>
            <w:tcW w:w="9929" w:type="dxa"/>
          </w:tcPr>
          <w:p w:rsidR="008C3F72" w:rsidRDefault="005F36B1">
            <w:pPr>
              <w:tabs>
                <w:tab w:val="left" w:pos="709"/>
              </w:tabs>
              <w:rPr>
                <w:sz w:val="28"/>
              </w:rPr>
            </w:pPr>
            <w:r>
              <w:rPr>
                <w:sz w:val="28"/>
              </w:rPr>
              <w:lastRenderedPageBreak/>
              <w:t>Начальник                                                                                                 Р.В. Шашкин</w:t>
            </w:r>
          </w:p>
          <w:p w:rsidR="008C3F72" w:rsidRDefault="008C3F72">
            <w:pPr>
              <w:pStyle w:val="27"/>
              <w:tabs>
                <w:tab w:val="left" w:pos="709"/>
              </w:tabs>
              <w:jc w:val="left"/>
            </w:pPr>
          </w:p>
          <w:p w:rsidR="008C3F72" w:rsidRDefault="008C3F72">
            <w:pPr>
              <w:tabs>
                <w:tab w:val="left" w:pos="709"/>
              </w:tabs>
              <w:rPr>
                <w:sz w:val="28"/>
              </w:rPr>
            </w:pPr>
          </w:p>
          <w:p w:rsidR="008C3F72" w:rsidRDefault="008C3F72">
            <w:pPr>
              <w:tabs>
                <w:tab w:val="left" w:pos="709"/>
              </w:tabs>
              <w:rPr>
                <w:sz w:val="28"/>
              </w:rPr>
            </w:pPr>
          </w:p>
          <w:p w:rsidR="008C3F72" w:rsidRDefault="008C3F72">
            <w:pPr>
              <w:tabs>
                <w:tab w:val="left" w:pos="709"/>
              </w:tabs>
              <w:rPr>
                <w:sz w:val="28"/>
              </w:rPr>
            </w:pPr>
          </w:p>
        </w:tc>
      </w:tr>
    </w:tbl>
    <w:p w:rsidR="008C3F72" w:rsidRDefault="008C3F72"/>
    <w:p w:rsidR="008C3F72" w:rsidRDefault="008C3F72">
      <w:pPr>
        <w:tabs>
          <w:tab w:val="left" w:pos="709"/>
        </w:tabs>
        <w:jc w:val="both"/>
        <w:rPr>
          <w:sz w:val="28"/>
        </w:rPr>
      </w:pPr>
    </w:p>
    <w:p w:rsidR="008C3F72" w:rsidRDefault="008C3F72">
      <w:pPr>
        <w:tabs>
          <w:tab w:val="left" w:pos="709"/>
        </w:tabs>
        <w:jc w:val="both"/>
        <w:rPr>
          <w:sz w:val="28"/>
        </w:rPr>
      </w:pPr>
    </w:p>
    <w:p w:rsidR="008C3F72" w:rsidRDefault="008C3F72">
      <w:pPr>
        <w:tabs>
          <w:tab w:val="left" w:pos="709"/>
        </w:tabs>
        <w:jc w:val="both"/>
        <w:rPr>
          <w:sz w:val="28"/>
        </w:rPr>
      </w:pPr>
    </w:p>
    <w:p w:rsidR="008C3F72" w:rsidRDefault="008C3F72">
      <w:pPr>
        <w:tabs>
          <w:tab w:val="left" w:pos="709"/>
        </w:tabs>
        <w:jc w:val="both"/>
        <w:rPr>
          <w:sz w:val="28"/>
        </w:rPr>
      </w:pPr>
    </w:p>
    <w:p w:rsidR="008C3F72" w:rsidRDefault="008C3F72">
      <w:pPr>
        <w:rPr>
          <w:sz w:val="28"/>
        </w:rPr>
      </w:pPr>
    </w:p>
    <w:p w:rsidR="008C3F72" w:rsidRDefault="008C3F72">
      <w:pPr>
        <w:spacing w:line="216" w:lineRule="auto"/>
        <w:ind w:firstLine="709"/>
        <w:contextualSpacing/>
        <w:jc w:val="both"/>
        <w:rPr>
          <w:sz w:val="24"/>
        </w:rPr>
      </w:pPr>
    </w:p>
    <w:p w:rsidR="008C3F72" w:rsidRDefault="008C3F72">
      <w:pPr>
        <w:spacing w:line="216" w:lineRule="auto"/>
        <w:ind w:firstLine="709"/>
        <w:contextualSpacing/>
        <w:jc w:val="both"/>
        <w:rPr>
          <w:sz w:val="24"/>
        </w:rPr>
      </w:pPr>
    </w:p>
    <w:p w:rsidR="008C3F72" w:rsidRDefault="008C3F72">
      <w:pPr>
        <w:spacing w:line="216" w:lineRule="auto"/>
        <w:ind w:firstLine="709"/>
        <w:contextualSpacing/>
        <w:jc w:val="both"/>
        <w:rPr>
          <w:sz w:val="24"/>
        </w:rPr>
      </w:pPr>
    </w:p>
    <w:p w:rsidR="008C3F72" w:rsidRDefault="008C3F72">
      <w:pPr>
        <w:spacing w:line="216" w:lineRule="auto"/>
        <w:ind w:firstLine="709"/>
        <w:contextualSpacing/>
        <w:jc w:val="both"/>
        <w:rPr>
          <w:sz w:val="24"/>
        </w:rPr>
      </w:pPr>
    </w:p>
    <w:p w:rsidR="008C3F72" w:rsidRDefault="008C3F72">
      <w:pPr>
        <w:spacing w:line="216" w:lineRule="auto"/>
        <w:ind w:firstLine="709"/>
        <w:contextualSpacing/>
        <w:jc w:val="both"/>
        <w:rPr>
          <w:sz w:val="24"/>
        </w:rPr>
      </w:pPr>
    </w:p>
    <w:p w:rsidR="008C3F72" w:rsidRDefault="008C3F72">
      <w:pPr>
        <w:spacing w:line="216" w:lineRule="auto"/>
        <w:ind w:firstLine="709"/>
        <w:contextualSpacing/>
        <w:jc w:val="both"/>
        <w:rPr>
          <w:sz w:val="24"/>
        </w:rPr>
      </w:pPr>
    </w:p>
    <w:p w:rsidR="008C3F72" w:rsidRDefault="008C3F72">
      <w:pPr>
        <w:spacing w:line="216" w:lineRule="auto"/>
        <w:ind w:firstLine="709"/>
        <w:contextualSpacing/>
        <w:jc w:val="both"/>
        <w:rPr>
          <w:sz w:val="24"/>
        </w:rPr>
      </w:pPr>
    </w:p>
    <w:p w:rsidR="008C3F72" w:rsidRDefault="008C3F72"/>
    <w:sectPr w:rsidR="008C3F72">
      <w:headerReference w:type="default" r:id="rId9"/>
      <w:pgSz w:w="11906" w:h="16838"/>
      <w:pgMar w:top="1134" w:right="567" w:bottom="1134" w:left="1418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36B1" w:rsidRDefault="005F36B1">
      <w:pPr>
        <w:pStyle w:val="32"/>
      </w:pPr>
      <w:r>
        <w:separator/>
      </w:r>
    </w:p>
  </w:endnote>
  <w:endnote w:type="continuationSeparator" w:id="0">
    <w:p w:rsidR="005F36B1" w:rsidRDefault="005F36B1">
      <w:pPr>
        <w:pStyle w:val="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36B1" w:rsidRDefault="005F36B1">
      <w:pPr>
        <w:pStyle w:val="32"/>
      </w:pPr>
      <w:r>
        <w:separator/>
      </w:r>
    </w:p>
  </w:footnote>
  <w:footnote w:type="continuationSeparator" w:id="0">
    <w:p w:rsidR="005F36B1" w:rsidRDefault="005F36B1">
      <w:pPr>
        <w:pStyle w:val="3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F72" w:rsidRDefault="005F36B1">
    <w:pPr>
      <w:pStyle w:val="ad"/>
      <w:jc w:val="center"/>
      <w:rPr>
        <w:sz w:val="28"/>
      </w:rPr>
    </w:pPr>
    <w:r>
      <w:rPr>
        <w:sz w:val="28"/>
      </w:rPr>
      <w:t>2</w:t>
    </w:r>
  </w:p>
  <w:p w:rsidR="008C3F72" w:rsidRDefault="008C3F72">
    <w:pPr>
      <w:pStyle w:val="ad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9070EF"/>
    <w:multiLevelType w:val="multilevel"/>
    <w:tmpl w:val="E21831A4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F72"/>
    <w:rsid w:val="005F36B1"/>
    <w:rsid w:val="008C3F72"/>
    <w:rsid w:val="008E2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98766"/>
  <w15:docId w15:val="{CE78BEEF-4FA1-46A0-A822-FB30A674A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styleId="a4">
    <w:name w:val="Hyperlink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link w:val="1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link w:val="4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link w:val="5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No Spacing"/>
    <w:uiPriority w:val="1"/>
    <w:qFormat/>
  </w:style>
  <w:style w:type="character" w:customStyle="1" w:styleId="a6">
    <w:name w:val="Заголовок Знак"/>
    <w:link w:val="a7"/>
    <w:uiPriority w:val="10"/>
    <w:rPr>
      <w:sz w:val="48"/>
      <w:szCs w:val="48"/>
    </w:rPr>
  </w:style>
  <w:style w:type="character" w:customStyle="1" w:styleId="a8">
    <w:name w:val="Подзаголовок Знак"/>
    <w:link w:val="a9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character" w:customStyle="1" w:styleId="ac">
    <w:name w:val="Верхний колонтитул Знак"/>
    <w:link w:val="ad"/>
    <w:uiPriority w:val="99"/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f"/>
    <w:uiPriority w:val="99"/>
  </w:style>
  <w:style w:type="table" w:styleId="af0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af7">
    <w:name w:val="TOC Heading"/>
    <w:uiPriority w:val="39"/>
    <w:unhideWhenUsed/>
  </w:style>
  <w:style w:type="character" w:customStyle="1" w:styleId="Contents6">
    <w:name w:val="Contents 6"/>
    <w:qFormat/>
  </w:style>
  <w:style w:type="character" w:customStyle="1" w:styleId="Contents2">
    <w:name w:val="Contents 2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i/>
      <w:sz w:val="24"/>
    </w:rPr>
  </w:style>
  <w:style w:type="character" w:customStyle="1" w:styleId="Contents4">
    <w:name w:val="Contents 4"/>
    <w:qFormat/>
  </w:style>
  <w:style w:type="character" w:customStyle="1" w:styleId="Contents3">
    <w:name w:val="Contents 3"/>
    <w:qFormat/>
  </w:style>
  <w:style w:type="character" w:customStyle="1" w:styleId="12">
    <w:name w:val="Текст выноски1"/>
    <w:qFormat/>
    <w:rPr>
      <w:rFonts w:ascii="Tahoma" w:hAnsi="Tahoma"/>
      <w:sz w:val="16"/>
    </w:rPr>
  </w:style>
  <w:style w:type="character" w:customStyle="1" w:styleId="13">
    <w:name w:val="Указатель1"/>
    <w:qFormat/>
  </w:style>
  <w:style w:type="character" w:customStyle="1" w:styleId="14">
    <w:name w:val="Нижний колонтитул1"/>
    <w:qFormat/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31">
    <w:name w:val="Заголовок 31"/>
    <w:link w:val="Heading3Char"/>
    <w:qFormat/>
    <w:rPr>
      <w:rFonts w:ascii="XO Thames" w:hAnsi="XO Thames"/>
      <w:b/>
      <w:i/>
    </w:rPr>
  </w:style>
  <w:style w:type="character" w:customStyle="1" w:styleId="Textbody">
    <w:name w:val="Text body"/>
    <w:qFormat/>
  </w:style>
  <w:style w:type="character" w:customStyle="1" w:styleId="Contents8">
    <w:name w:val="Contents 8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211">
    <w:name w:val="Основной текст 21"/>
    <w:qFormat/>
    <w:rPr>
      <w:sz w:val="28"/>
    </w:rPr>
  </w:style>
  <w:style w:type="character" w:customStyle="1" w:styleId="Contents9">
    <w:name w:val="Contents 9"/>
    <w:qFormat/>
  </w:style>
  <w:style w:type="character" w:customStyle="1" w:styleId="af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toc10">
    <w:name w:val="toc 10"/>
    <w:qFormat/>
  </w:style>
  <w:style w:type="character" w:customStyle="1" w:styleId="15">
    <w:name w:val="Верхний колонтитул1"/>
    <w:qFormat/>
  </w:style>
  <w:style w:type="character" w:customStyle="1" w:styleId="16">
    <w:name w:val="Заголовок1"/>
    <w:qFormat/>
    <w:rPr>
      <w:rFonts w:ascii="Liberation Sans" w:hAnsi="Liberation Sans"/>
      <w:sz w:val="28"/>
    </w:rPr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Contents5">
    <w:name w:val="Contents 5"/>
    <w:qFormat/>
  </w:style>
  <w:style w:type="character" w:customStyle="1" w:styleId="51">
    <w:name w:val="Заголовок 51"/>
    <w:link w:val="Heading5Char"/>
    <w:qFormat/>
    <w:rPr>
      <w:rFonts w:ascii="XO Thames" w:hAnsi="XO Thames"/>
      <w:b/>
    </w:rPr>
  </w:style>
  <w:style w:type="character" w:customStyle="1" w:styleId="11">
    <w:name w:val="Заголовок 11"/>
    <w:link w:val="Heading1Char"/>
    <w:qFormat/>
    <w:rPr>
      <w:b/>
      <w:spacing w:val="-20"/>
      <w:sz w:val="32"/>
    </w:rPr>
  </w:style>
  <w:style w:type="character" w:customStyle="1" w:styleId="23">
    <w:name w:val="Название объекта2"/>
    <w:qFormat/>
    <w:rPr>
      <w:b/>
      <w:sz w:val="36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Абзац списка1"/>
    <w:qFormat/>
  </w:style>
  <w:style w:type="character" w:customStyle="1" w:styleId="19">
    <w:name w:val="Гиперссылка1"/>
    <w:qFormat/>
    <w:rPr>
      <w:rFonts w:ascii="Calibri" w:hAnsi="Calibri"/>
      <w:color w:val="0000FF"/>
      <w:u w:val="single"/>
    </w:rPr>
  </w:style>
  <w:style w:type="character" w:customStyle="1" w:styleId="24">
    <w:name w:val="Основной шрифт абзаца2"/>
    <w:qFormat/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1a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1b">
    <w:name w:val="Название1"/>
    <w:qFormat/>
    <w:rPr>
      <w:rFonts w:ascii="XO Thames" w:hAnsi="XO Thames"/>
      <w:b/>
      <w:sz w:val="52"/>
    </w:rPr>
  </w:style>
  <w:style w:type="character" w:customStyle="1" w:styleId="41">
    <w:name w:val="Заголовок 41"/>
    <w:link w:val="Heading4Char"/>
    <w:qFormat/>
    <w:rPr>
      <w:rFonts w:ascii="XO Thames" w:hAnsi="XO Thames"/>
      <w:b/>
      <w:color w:val="595959"/>
      <w:sz w:val="26"/>
    </w:rPr>
  </w:style>
  <w:style w:type="character" w:customStyle="1" w:styleId="1c">
    <w:name w:val="Основной шрифт абзаца1"/>
    <w:qFormat/>
  </w:style>
  <w:style w:type="character" w:customStyle="1" w:styleId="21">
    <w:name w:val="Заголовок 21"/>
    <w:link w:val="Heading2Char"/>
    <w:qFormat/>
    <w:rPr>
      <w:rFonts w:ascii="XO Thames" w:hAnsi="XO Thames"/>
      <w:b/>
      <w:color w:val="00A0FF"/>
      <w:sz w:val="26"/>
    </w:rPr>
  </w:style>
  <w:style w:type="character" w:customStyle="1" w:styleId="1d">
    <w:name w:val="Список1"/>
    <w:basedOn w:val="Textbody"/>
    <w:qFormat/>
  </w:style>
  <w:style w:type="paragraph" w:customStyle="1" w:styleId="25">
    <w:name w:val="Заголовок2"/>
    <w:basedOn w:val="a"/>
    <w:next w:val="af9"/>
    <w:qFormat/>
    <w:pPr>
      <w:keepNext/>
      <w:spacing w:before="240" w:after="120"/>
    </w:pPr>
    <w:rPr>
      <w:rFonts w:ascii="Liberation Sans" w:hAnsi="Liberation Sans"/>
      <w:sz w:val="28"/>
    </w:rPr>
  </w:style>
  <w:style w:type="paragraph" w:styleId="af9">
    <w:name w:val="Body Text"/>
    <w:basedOn w:val="a"/>
    <w:pPr>
      <w:spacing w:after="140" w:line="276" w:lineRule="auto"/>
    </w:pPr>
  </w:style>
  <w:style w:type="paragraph" w:styleId="afa">
    <w:name w:val="List"/>
    <w:basedOn w:val="Textbody0"/>
  </w:style>
  <w:style w:type="paragraph" w:styleId="afb">
    <w:name w:val="caption"/>
    <w:qFormat/>
    <w:rPr>
      <w:b/>
      <w:sz w:val="36"/>
    </w:rPr>
  </w:style>
  <w:style w:type="paragraph" w:styleId="afc">
    <w:name w:val="index heading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styleId="26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customStyle="1" w:styleId="Contents30">
    <w:name w:val="Contents 3"/>
    <w:qFormat/>
    <w:rPr>
      <w:sz w:val="26"/>
    </w:rPr>
  </w:style>
  <w:style w:type="paragraph" w:styleId="61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styleId="71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styleId="afd">
    <w:name w:val="Balloon Text"/>
    <w:qFormat/>
    <w:rPr>
      <w:rFonts w:ascii="Tahoma" w:hAnsi="Tahoma"/>
      <w:sz w:val="16"/>
    </w:rPr>
  </w:style>
  <w:style w:type="paragraph" w:customStyle="1" w:styleId="afe">
    <w:name w:val="Верхний и нижний колонтитулы"/>
    <w:qFormat/>
    <w:rPr>
      <w:rFonts w:ascii="XO Thames" w:hAnsi="XO Thames"/>
    </w:rPr>
  </w:style>
  <w:style w:type="paragraph" w:styleId="af">
    <w:name w:val="footer"/>
    <w:link w:val="ae"/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styleId="27">
    <w:name w:val="Body Text 2"/>
    <w:basedOn w:val="a"/>
    <w:qFormat/>
    <w:pPr>
      <w:jc w:val="both"/>
    </w:pPr>
    <w:rPr>
      <w:sz w:val="28"/>
    </w:rPr>
  </w:style>
  <w:style w:type="paragraph" w:customStyle="1" w:styleId="Contents90">
    <w:name w:val="Contents 9"/>
    <w:qFormat/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customStyle="1" w:styleId="toc100">
    <w:name w:val="toc 10"/>
    <w:next w:val="a"/>
    <w:uiPriority w:val="39"/>
    <w:qFormat/>
    <w:rPr>
      <w:sz w:val="26"/>
    </w:rPr>
  </w:style>
  <w:style w:type="paragraph" w:styleId="ad">
    <w:name w:val="header"/>
    <w:basedOn w:val="a"/>
    <w:link w:val="ac"/>
    <w:pPr>
      <w:tabs>
        <w:tab w:val="center" w:pos="4677"/>
        <w:tab w:val="right" w:pos="9355"/>
      </w:tabs>
    </w:pPr>
  </w:style>
  <w:style w:type="paragraph" w:customStyle="1" w:styleId="Contents20">
    <w:name w:val="Contents 2"/>
    <w:qFormat/>
    <w:rPr>
      <w:sz w:val="26"/>
    </w:rPr>
  </w:style>
  <w:style w:type="paragraph" w:styleId="30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customStyle="1" w:styleId="Contents50">
    <w:name w:val="Contents 5"/>
    <w:qFormat/>
    <w:rPr>
      <w:sz w:val="26"/>
    </w:rPr>
  </w:style>
  <w:style w:type="paragraph" w:customStyle="1" w:styleId="28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styleId="91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aff">
    <w:name w:val="List Paragraph"/>
    <w:qFormat/>
    <w:rPr>
      <w:sz w:val="26"/>
    </w:rPr>
  </w:style>
  <w:style w:type="paragraph" w:customStyle="1" w:styleId="32">
    <w:name w:val="Основной шрифт абзаца3"/>
    <w:qFormat/>
    <w:rPr>
      <w:sz w:val="26"/>
    </w:rPr>
  </w:style>
  <w:style w:type="paragraph" w:customStyle="1" w:styleId="1f0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81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29">
    <w:name w:val="Основной шрифт абзаца2"/>
    <w:qFormat/>
    <w:rPr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styleId="a9">
    <w:name w:val="Subtitle"/>
    <w:link w:val="a8"/>
    <w:uiPriority w:val="11"/>
    <w:qFormat/>
    <w:rPr>
      <w:rFonts w:ascii="XO Thames" w:hAnsi="XO Thames"/>
      <w:i/>
      <w:color w:val="616161"/>
      <w:sz w:val="24"/>
    </w:rPr>
  </w:style>
  <w:style w:type="paragraph" w:styleId="a7">
    <w:name w:val="Title"/>
    <w:next w:val="a"/>
    <w:link w:val="a6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customStyle="1" w:styleId="1f1">
    <w:name w:val="Основной шрифт абзаца1"/>
    <w:qFormat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2.03.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478</Words>
  <Characters>2729</Characters>
  <Application>Microsoft Office Word</Application>
  <DocSecurity>0</DocSecurity>
  <Lines>22</Lines>
  <Paragraphs>6</Paragraphs>
  <ScaleCrop>false</ScaleCrop>
  <Company>Microsoft</Company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101</cp:revision>
  <dcterms:created xsi:type="dcterms:W3CDTF">2021-12-02T15:09:00Z</dcterms:created>
  <dcterms:modified xsi:type="dcterms:W3CDTF">2024-12-19T14:26:00Z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