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color="auto" w:fill="auto"/>
          <w:lang w:val="ru-RU" w:bidi="ar-SA" w:eastAsia="en-US"/>
        </w:rPr>
        <w:t xml:space="preserve">13.01.2025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color="auto" w:fill="auto"/>
          <w:lang w:val="ru-RU" w:bidi="ar-SA" w:eastAsia="en-US"/>
        </w:rPr>
        <w:t xml:space="preserve"> № 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color="auto" w:fill="auto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ый план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Окское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ый план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Окское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«14» января 2025 г. по «05»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.01.202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Щегрово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(ориентир дом 15)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Минеево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(ориентир дом 3)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. Сорокино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(ориентир дом 48)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whit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Аксиньино, ул. Центральная (ориентир</w:t>
        <w:br/>
        <w:t xml:space="preserve">дом 13)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с. Дашки 2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6 Почтовое отделение)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п. Свобода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59)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с Вышетравино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22 Дом культуры)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Чичкино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86)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с. Новинское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24)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Климантино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20)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Матвеевка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13)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Павловка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17)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Глядково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16)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Сажнево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(остановка общественного транспорта Сажнево)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Романцево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123)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15:15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highlight w:val="none"/>
          <w:lang w:eastAsia="en-US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Арсентьево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(при въезде в населенный пункт)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15:40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«23»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с. Бежтвино, ул. Барская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16)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Коротково, ул. Центральная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</w:t>
        <w:br/>
        <w:t xml:space="preserve">дом 19)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Панферово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(Памятник около дома 20)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Сальково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30)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Протасово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14)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Ивкино, ул. Рощинская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16)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Трубниково, ул. Рождественская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</w:t>
        <w:br/>
        <w:t xml:space="preserve">дом 6 Магазин смешанных товаров)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</w:t>
        <w:br/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Ялтуново, ул. Вишневая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</w:t>
        <w:br/>
        <w:t xml:space="preserve">дом 94)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п. Окский, д. 12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(здание администрации)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Слободка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(ориентир дом 21А)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п. Денежниково, ул. Вокзальная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(ориентир дом 8)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sz w:val="27"/>
          <w:szCs w:val="26"/>
          <w:highlight w:val="none"/>
        </w:rPr>
        <w:t xml:space="preserve">.</w:t>
      </w:r>
      <w:r>
        <w:rPr>
          <w:sz w:val="27"/>
          <w:szCs w:val="26"/>
          <w:highlight w:val="whit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.01.2025: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Щегрово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(ориентир дом 15)</w:t>
      </w:r>
      <w:r>
        <w:rPr>
          <w:sz w:val="27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3221" w:leader="none"/>
        </w:tabs>
        <w:rPr>
          <w:sz w:val="27"/>
          <w:szCs w:val="26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Минеево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(ориентир дом 3)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3221" w:leader="none"/>
        </w:tabs>
        <w:rPr>
          <w:rFonts w:cs="Times New Roman" w:eastAsia="Times New Roman"/>
          <w:sz w:val="27"/>
          <w:szCs w:val="26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. Сорокино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(ориентир дом 48)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Аксиньино, ул. Центральная (ориентир дом 13)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с. Дашки 2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6 Почтовое отделение)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sz w:val="27"/>
          <w:highlight w:val="none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sz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п. Свобода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59)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с. Вышетравино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22 Дом культуры)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322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12:25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Чичкино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86)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3221" w:leader="none"/>
        </w:tabs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highlight w:val="none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12:50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с. Новинское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24)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3221" w:leader="none"/>
        </w:tabs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13:25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Климантино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20)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13:40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Матвеевка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13)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13:55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Павловка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17)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whit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14:25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Глядково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16)</w:t>
      </w:r>
      <w:r>
        <w:rPr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whit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14:45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Сажнево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(остановка общественного транспорта Сажнево)</w:t>
      </w:r>
      <w:r>
        <w:rPr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15:05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Романцево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123)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whit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15:35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Арсентьево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(при въезде в населенный пункт)</w:t>
      </w:r>
      <w:r>
        <w:rPr>
          <w:sz w:val="27"/>
          <w:szCs w:val="26"/>
          <w:highlight w:val="none"/>
          <w:lang w:val="ru-RU" w:bidi="ar-SA" w:eastAsia="zh-CN"/>
        </w:rPr>
        <w:t xml:space="preserve">.</w:t>
      </w:r>
      <w:r>
        <w:rPr>
          <w:sz w:val="27"/>
          <w:szCs w:val="26"/>
          <w:highlight w:val="whit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.01.2025: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10:00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10:10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white"/>
          <w:u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white"/>
          <w:u w:val="non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с. Бежтвино, ул. Барская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16)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10:20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10:30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Коротково, ул. Центральная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19)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11:10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11:20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Панферово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(Памятник около дома 20)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11:30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11:40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Сальково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30)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whit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12:10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12:20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д. Протасово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14</w:t>
      </w:r>
      <w:r>
        <w:rPr>
          <w:sz w:val="27"/>
          <w:szCs w:val="26"/>
          <w:highlight w:val="none"/>
          <w:lang w:val="ru-RU" w:bidi="ar-SA" w:eastAsia="zh-CN"/>
        </w:rPr>
        <w:t xml:space="preserve">);</w:t>
      </w:r>
      <w:r>
        <w:rPr>
          <w:sz w:val="27"/>
          <w:szCs w:val="26"/>
          <w:highlight w:val="whit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12:50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13:00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Ивкино, ул. Рощинская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16)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center" w:pos="4677" w:leader="none"/>
        </w:tabs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- с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13:10 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час. по 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u w:val="none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sz w:val="27"/>
          <w:szCs w:val="26"/>
          <w:highlight w:val="white"/>
          <w:u w:val="none"/>
          <w:lang w:eastAsia="en-US"/>
        </w:rPr>
        <w:t xml:space="preserve"> час. по адресу: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Трубниково, ул. Рождественская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6 Магазин смешанных товаров)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center" w:pos="4677" w:leader="none"/>
          <w:tab w:val="left" w:pos="7586" w:leader="none"/>
        </w:tabs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13:25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Ялтуново, ул. Вишневая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(ориентир дом 94)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center" w:pos="4677" w:leader="none"/>
          <w:tab w:val="center" w:pos="4677" w:leader="none"/>
          <w:tab w:val="left" w:pos="7586" w:leader="none"/>
        </w:tabs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13:40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п. Окский, д. 12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 (здание администрации)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center" w:pos="4677" w:leader="none"/>
          <w:tab w:val="center" w:pos="4677" w:leader="none"/>
          <w:tab w:val="left" w:pos="7586" w:leader="none"/>
        </w:tabs>
        <w:rPr>
          <w:rFonts w:cs="Times New Roman" w:eastAsia="Times New Roman"/>
          <w:b w:val="false"/>
          <w:color w:val="000000"/>
          <w:sz w:val="26"/>
          <w:szCs w:val="26"/>
          <w:highlight w:val="none"/>
          <w:u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14:05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д. Слободка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(ориентир дом 21А)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center" w:pos="4677" w:leader="none"/>
          <w:tab w:val="center" w:pos="4677" w:leader="none"/>
          <w:tab w:val="left" w:pos="7586" w:leader="none"/>
        </w:tabs>
        <w:rPr>
          <w:sz w:val="27"/>
          <w:szCs w:val="26"/>
          <w:highlight w:val="whit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14:25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br/>
        <w:t xml:space="preserve">п. Денежниково, ул. Вокзальная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(ориентир дом 8)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.</w:t>
      </w:r>
      <w:r>
        <w:rPr>
          <w:sz w:val="27"/>
          <w:szCs w:val="26"/>
          <w:highlight w:val="white"/>
          <w:lang w:val="ru-RU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«24»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«14»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24» января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24»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69</cp:revision>
  <dcterms:created xsi:type="dcterms:W3CDTF">2024-05-31T06:53:00Z</dcterms:created>
  <dcterms:modified xsi:type="dcterms:W3CDTF">2025-01-14T06:13:00Z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