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10.02.2025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59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br/>
        <w:t xml:space="preserve">ООО «Авангард».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«13» февраля 2025 г. </w:t>
        <w:br/>
        <w:t xml:space="preserve">по «26» февраля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13.02.2025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Рязанском районе,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, (ул. Центральная, д. 2Б магазин «Магнит»)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«14» февраля 2025 г. по 10:45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(посещение</w:t>
        <w:br/>
        <w:t xml:space="preserve">с «14» февраля 2025 г. по 11:20 час. «19» февраля 2025 г. в часы работы администрации).</w:t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19.02.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Центральная, д. 2Б - магазин «Магнит»)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10:50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highlight w:val="none"/>
        </w:rPr>
        <w:t xml:space="preserve">.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81</cp:revision>
  <dcterms:created xsi:type="dcterms:W3CDTF">2024-05-31T06:53:00Z</dcterms:created>
  <dcterms:modified xsi:type="dcterms:W3CDTF">2025-02-13T13:15:16Z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