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44475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11 марта 2025 г. № </w:t>
      </w:r>
      <w:r>
        <w:rPr>
          <w:rFonts w:ascii="Times New Roman" w:hAnsi="Times New Roman"/>
          <w:bCs/>
          <w:sz w:val="28"/>
          <w:szCs w:val="28"/>
        </w:rPr>
        <w:t>8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44758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E210A0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210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Рязанской области от 30 октября 2023 г. № 406 </w:t>
            </w:r>
          </w:p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«Об утверждении государственной программы Рязанской </w:t>
            </w:r>
          </w:p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области «Реализация молодежной политики» </w:t>
            </w:r>
          </w:p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Правительства Рязанской </w:t>
            </w:r>
            <w:proofErr w:type="gramEnd"/>
          </w:p>
          <w:p w:rsidR="00E210A0" w:rsidRPr="00E210A0" w:rsidRDefault="00E210A0" w:rsidP="00E21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области от 11.04.2024 № 117, от 26.08.2024 № 269, </w:t>
            </w:r>
          </w:p>
          <w:p w:rsidR="000D5EED" w:rsidRPr="00E210A0" w:rsidRDefault="00E210A0" w:rsidP="00E210A0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от 21.11.2024 № 375)</w:t>
            </w:r>
          </w:p>
        </w:tc>
      </w:tr>
      <w:tr w:rsidR="000D5EED" w:rsidRPr="00E210A0" w:rsidTr="002B3460">
        <w:trPr>
          <w:jc w:val="right"/>
        </w:trPr>
        <w:tc>
          <w:tcPr>
            <w:tcW w:w="5000" w:type="pct"/>
            <w:gridSpan w:val="3"/>
          </w:tcPr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 xml:space="preserve"> № 406 «Об утверждении государственной программы Рязанской области «Реализация молодежной политики» следующие изменения: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- в разделе 1 «Приоритеты и цели государственной политики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br/>
              <w:t>в сфере реализации государственной программы Рязанской области»: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в подразделе 1.1 «Оценка текущего состояния Рязанской области в сфере молодежной политики»: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абзацы четвертый, пятый изложить в следующей редакции: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«- 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молодежи, информирование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br/>
              <w:t>о реализации молодежной политики;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- обеспечение условий для патриотического и духовно-нравственного воспитания, в том числе для вовлечения молодых граждан в добровольческую (волонтерскую) деятельность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E210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абзац шестой признать утратившим силу; 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в подразделе 1.2 «Описание приоритетов и целей государственной политики в сфере реализации государственной программы Рязанской области»: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абзацы седьмой - девятый изложить в следующей редакции: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«- цель 1: создание условий для развития, социализации и самореализации молодежи, обеспечивающих к 2030 году охват молодых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lastRenderedPageBreak/>
              <w:t>людей проектами и программами в сфере молодежной политики не менее чем до 75 процентов;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- цель 2: обеспечение жильем молодых семей Рязанской области, способствующее улучшению жилищных условий не менее 551 молод</w:t>
            </w:r>
            <w:r w:rsidR="00D8489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D84892">
              <w:rPr>
                <w:rFonts w:ascii="Times New Roman" w:hAnsi="Times New Roman"/>
                <w:sz w:val="28"/>
                <w:szCs w:val="28"/>
              </w:rPr>
              <w:t>ьи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 xml:space="preserve"> к 2030 году;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- цель 3: 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способствующих увеличению к 2030 году доли молодых людей, вовлеченных в добровольческую и общественную деятельность, не менее чем до</w:t>
            </w:r>
            <w:r w:rsidR="009D4A8C">
              <w:rPr>
                <w:rFonts w:ascii="Times New Roman" w:hAnsi="Times New Roman"/>
                <w:sz w:val="28"/>
                <w:szCs w:val="28"/>
              </w:rPr>
              <w:br/>
            </w:r>
            <w:r w:rsidRPr="00E210A0">
              <w:rPr>
                <w:rFonts w:ascii="Times New Roman" w:hAnsi="Times New Roman"/>
                <w:sz w:val="28"/>
                <w:szCs w:val="28"/>
              </w:rPr>
              <w:t>45 процентов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в подразделе 1.3 «Задачи государственного управления, способы их эффективного решения в сфере реализации государственной программы Рязанской области»: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дополнить новым абзацем четвертым следующего содержания: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«- региональный проект «Россия</w:t>
            </w:r>
            <w:r w:rsidR="009D4A8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страна возможностей (Рязанская область)»;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абзацы пятый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седьмой заменить текстом следующего содержания: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«Созданию условий для развития, социализации и самореализации молодежи будет способствовать решение задачи по созданию условий для проявления и развития инновационного потенциала молодых людей, поддержке талантливой молодежи, популяризации семейных ценностей среди молодежи, информированию о реализации молодежной политики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210A0" w:rsidRPr="00E210A0" w:rsidRDefault="00E210A0" w:rsidP="00E210A0">
            <w:pPr>
              <w:pStyle w:val="ac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E210A0">
              <w:rPr>
                <w:sz w:val="28"/>
                <w:szCs w:val="28"/>
              </w:rPr>
              <w:t>в абзаце десятом слова «Совершенствование системы патриотического воспитания» заменить словами «Создание условий для патриотического и духовно-нравственного воспитания»;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дополнить новым абзацем двенадцатым следующего содержания:</w:t>
            </w:r>
          </w:p>
          <w:p w:rsidR="00E210A0" w:rsidRPr="00E210A0" w:rsidRDefault="00E210A0" w:rsidP="00E210A0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«- региональный проект «Мы вместе (Воспитание гармонично развитой личности) (Рязанская область)»;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 двенадцатый изложить в следующей редакции: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«- комплекс процессных мероприятий «Обеспечение условий для патриотического и духовно-нравственного воспитания»;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абзацы тринадцатый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пятнадцатый изложить в следующей редакции: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«В рамках реализации данных структурных элементов планируется решение задач 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210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10A0" w:rsidRPr="00E210A0" w:rsidRDefault="00E210A0" w:rsidP="00E210A0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созданию условий для вовлечения молодых людей в добровольческую (волонтерскую) деятельность;</w:t>
            </w:r>
          </w:p>
          <w:p w:rsidR="00E210A0" w:rsidRPr="00E210A0" w:rsidRDefault="00E210A0" w:rsidP="00E210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- с</w:t>
            </w:r>
            <w:r w:rsidRPr="00E210A0">
              <w:rPr>
                <w:rFonts w:ascii="Times New Roman" w:hAnsi="Times New Roman"/>
                <w:spacing w:val="-4"/>
                <w:sz w:val="28"/>
                <w:szCs w:val="28"/>
              </w:rPr>
              <w:t>овершенствованию системы патриотического и духовно-нравственного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 xml:space="preserve"> воспитания</w:t>
            </w:r>
            <w:proofErr w:type="gramStart"/>
            <w:r w:rsidRPr="00E210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E210A0" w:rsidRPr="00E210A0" w:rsidRDefault="00E210A0" w:rsidP="00E210A0">
            <w:pPr>
              <w:pStyle w:val="ac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E210A0">
              <w:rPr>
                <w:color w:val="000000" w:themeColor="text1"/>
                <w:sz w:val="28"/>
                <w:szCs w:val="28"/>
              </w:rPr>
              <w:t>абзац шестнадцатый признать утратившим силу;</w:t>
            </w: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- в приложении № 1</w:t>
            </w:r>
            <w:r w:rsidR="00057863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«Реализация молодежной политики»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в пункте 1 слова «социальной выплаты молодым семьям» заменить словами «молодым семьям социальной выплаты»;</w:t>
            </w:r>
          </w:p>
          <w:p w:rsidR="00057863" w:rsidRPr="00E210A0" w:rsidRDefault="00057863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пункте 3 слова «социальных выплат молодым семьям» заменить словами «молодым семьям социальной выплаты»; </w:t>
            </w: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абзац пятый пункта 4 изложить в следующей редакции:</w:t>
            </w: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«- наличие обязательства муниципального образования Рязанской области по предоставлению молодым семьям дополнительной социальной выплаты по рождению (усыновлению) одного ребенка в соответствующем году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 xml:space="preserve"> в пункте 9 слова «социальных выплат молодым семьям» заменить словами «молодым семьям социальных выплат»; </w:t>
            </w: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- в пункте 17 слова «количество молодых семей, улучшивших жилищные условия» заменить словами «количество молодых семей, обеспеченных жильем»;</w:t>
            </w:r>
          </w:p>
          <w:p w:rsidR="00E210A0" w:rsidRPr="00E210A0" w:rsidRDefault="00057863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 </w:t>
            </w:r>
            <w:r w:rsidR="00E210A0" w:rsidRPr="00E210A0">
              <w:rPr>
                <w:rFonts w:ascii="Times New Roman" w:hAnsi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210A0" w:rsidRPr="00E210A0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«Реализация молодежной политики»</w:t>
            </w:r>
            <w:r w:rsidR="00E210A0" w:rsidRPr="00E21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пункт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0A0" w:rsidRPr="00E210A0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210A0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«1. </w:t>
            </w:r>
            <w:proofErr w:type="gramStart"/>
            <w:r w:rsidRPr="00E210A0">
              <w:rPr>
                <w:rFonts w:ascii="Times New Roman" w:hAnsi="Times New Roman"/>
                <w:sz w:val="28"/>
                <w:szCs w:val="28"/>
              </w:rPr>
              <w:t>Настоящие Правила устанавливают цели, порядок и условия предоставления и распределения субсидий из бюджета Рязанской области бюджетам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образований Рязанской области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E210A0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E210A0">
              <w:rPr>
                <w:rFonts w:ascii="Times New Roman" w:hAnsi="Times New Roman"/>
                <w:sz w:val="28"/>
                <w:szCs w:val="28"/>
              </w:rPr>
              <w:t xml:space="preserve"> расходного обязательства муниципального образования Рязанской области по предоставлению молодым семьям дополнительной социальной выплаты по рождению (усыновлению) одного ребенка в рамках направления (подпрограммы) 2 «Обеспечение жильем молодых семей Рязанской области» государственной программы Рязанской области «Реализация молодежной пол</w:t>
            </w:r>
            <w:r>
              <w:rPr>
                <w:rFonts w:ascii="Times New Roman" w:hAnsi="Times New Roman"/>
                <w:sz w:val="28"/>
                <w:szCs w:val="28"/>
              </w:rPr>
              <w:t>итики» (далее – соответственно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0A0">
              <w:rPr>
                <w:rFonts w:ascii="Times New Roman" w:hAnsi="Times New Roman"/>
                <w:sz w:val="28"/>
                <w:szCs w:val="28"/>
              </w:rPr>
              <w:t>в настоящем приложении – субсидия, субсидии, подпрограмма).</w:t>
            </w:r>
          </w:p>
          <w:p w:rsidR="00912F0D" w:rsidRPr="00E210A0" w:rsidRDefault="00E210A0" w:rsidP="00E210A0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Субсидия предоставляется в соответствии с Порядком предоставления молодым семьям дополнительной социальной выплаты по рождению (усыновлению) одного ребенка в рамках реализации направления (подпрограммы) 2 «Обеспечение жильем молодых семей Рязанской области» государственной программы Рязанской области «Реализация молодежной политики (далее – Порядок предоставления дополнительной социальной выплаты), утвержденным постановлением Правительства Рязанской области от 12.02.2014 № 28.».</w:t>
            </w:r>
            <w:r w:rsidR="000D5EED" w:rsidRPr="00E21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E210A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E210A0" w:rsidRDefault="002B3460" w:rsidP="00E210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rPr>
                <w:rFonts w:ascii="Times New Roman" w:hAnsi="Times New Roman"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E210A0" w:rsidRDefault="002B3460" w:rsidP="00E21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E210A0" w:rsidRDefault="002B3460" w:rsidP="00E210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E210A0" w:rsidRDefault="002B3460" w:rsidP="00E210A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210A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210A0" w:rsidRDefault="003E5250" w:rsidP="00E210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7E43"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E210A0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41" w:rsidRDefault="00A22741">
      <w:r>
        <w:separator/>
      </w:r>
    </w:p>
  </w:endnote>
  <w:endnote w:type="continuationSeparator" w:id="0">
    <w:p w:rsidR="00A22741" w:rsidRDefault="00A2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41" w:rsidRDefault="00A22741">
      <w:r>
        <w:separator/>
      </w:r>
    </w:p>
  </w:footnote>
  <w:footnote w:type="continuationSeparator" w:id="0">
    <w:p w:rsidR="00A22741" w:rsidRDefault="00A2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9E4445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0Qr4ryPba5uhop3fmGzGFyr3Gs=" w:salt="Tz7YPzQN6l9TRv7835VWT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57863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E5250"/>
    <w:rsid w:val="003F4F5E"/>
    <w:rsid w:val="00400906"/>
    <w:rsid w:val="0042590E"/>
    <w:rsid w:val="00437F65"/>
    <w:rsid w:val="00444758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5F7E43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D4A8C"/>
    <w:rsid w:val="009E3A0E"/>
    <w:rsid w:val="009E4445"/>
    <w:rsid w:val="00A1314B"/>
    <w:rsid w:val="00A13160"/>
    <w:rsid w:val="00A137D3"/>
    <w:rsid w:val="00A22741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4892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10A0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E210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E210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2025-03-10T07:31:00Z</cp:lastPrinted>
  <dcterms:created xsi:type="dcterms:W3CDTF">2025-03-06T07:51:00Z</dcterms:created>
  <dcterms:modified xsi:type="dcterms:W3CDTF">2025-03-11T12:19:00Z</dcterms:modified>
</cp:coreProperties>
</file>