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6500" w:rsidRDefault="008A3557">
      <w:pPr>
        <w:keepNext/>
        <w:spacing w:before="0" w:after="0"/>
        <w:ind w:left="5670"/>
        <w:jc w:val="left"/>
      </w:pPr>
      <w:r>
        <w:t xml:space="preserve">Утвержден </w:t>
      </w:r>
    </w:p>
    <w:p w:rsidR="00B86500" w:rsidRDefault="008A3557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B86500" w:rsidRDefault="008A3557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B86500" w:rsidRDefault="008A3557">
      <w:pPr>
        <w:keepNext/>
        <w:spacing w:before="0" w:after="0"/>
        <w:ind w:left="5670"/>
        <w:jc w:val="left"/>
      </w:pPr>
      <w:r>
        <w:t>Рязанской области</w:t>
      </w:r>
    </w:p>
    <w:p w:rsidR="00B86500" w:rsidRDefault="00970061">
      <w:pPr>
        <w:keepNext/>
        <w:tabs>
          <w:tab w:val="left" w:pos="5100"/>
        </w:tabs>
        <w:spacing w:before="0" w:after="0"/>
        <w:ind w:left="5670"/>
        <w:jc w:val="left"/>
      </w:pPr>
      <w:r>
        <w:t>от 17 апреля 2025 г.</w:t>
      </w:r>
      <w:r w:rsidR="008A3557">
        <w:t xml:space="preserve"> №</w:t>
      </w:r>
      <w:r>
        <w:t xml:space="preserve"> 294-п</w:t>
      </w:r>
      <w:bookmarkStart w:id="0" w:name="_GoBack"/>
      <w:bookmarkEnd w:id="0"/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8A3557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B86500" w:rsidRDefault="008A3557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</w:p>
    <w:p w:rsidR="00B86500" w:rsidRDefault="008A3557">
      <w:pPr>
        <w:pStyle w:val="a8"/>
        <w:spacing w:after="6"/>
        <w:ind w:firstLine="0"/>
        <w:jc w:val="center"/>
      </w:pPr>
      <w:r>
        <w:rPr>
          <w:sz w:val="32"/>
          <w:szCs w:val="32"/>
        </w:rPr>
        <w:t>Остро-</w:t>
      </w:r>
      <w:proofErr w:type="spellStart"/>
      <w:r>
        <w:rPr>
          <w:sz w:val="32"/>
          <w:szCs w:val="32"/>
        </w:rPr>
        <w:t>Пластиковское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B86500" w:rsidRDefault="008A3557">
      <w:pPr>
        <w:pStyle w:val="a8"/>
        <w:spacing w:after="6"/>
        <w:ind w:firstLine="0"/>
        <w:jc w:val="center"/>
      </w:pPr>
      <w:proofErr w:type="spellStart"/>
      <w:r>
        <w:rPr>
          <w:sz w:val="32"/>
          <w:szCs w:val="32"/>
        </w:rPr>
        <w:t>Чучковского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B86500" w:rsidRDefault="008A3557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8A3557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B86500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B86500" w:rsidRDefault="008A3557">
      <w:pPr>
        <w:pStyle w:val="1"/>
        <w:numPr>
          <w:ilvl w:val="0"/>
          <w:numId w:val="2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B86500" w:rsidRDefault="00B86500">
      <w:pPr>
        <w:pStyle w:val="a8"/>
        <w:rPr>
          <w:color w:val="auto"/>
          <w:sz w:val="20"/>
          <w:szCs w:val="20"/>
        </w:rPr>
      </w:pPr>
    </w:p>
    <w:p w:rsidR="00B86500" w:rsidRDefault="008A3557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– Остро-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Пластиковское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Чучковского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значения.</w:t>
      </w:r>
    </w:p>
    <w:p w:rsidR="00B86500" w:rsidRDefault="00B86500">
      <w:pPr>
        <w:pStyle w:val="a8"/>
        <w:suppressLineNumbers/>
        <w:contextualSpacing/>
        <w:rPr>
          <w:color w:val="auto"/>
          <w:sz w:val="20"/>
          <w:szCs w:val="20"/>
        </w:rPr>
      </w:pPr>
    </w:p>
    <w:p w:rsidR="00B86500" w:rsidRDefault="008A3557">
      <w:pPr>
        <w:pStyle w:val="1"/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B86500" w:rsidRDefault="00B86500">
      <w:pPr>
        <w:pStyle w:val="a8"/>
        <w:rPr>
          <w:color w:val="auto"/>
          <w:sz w:val="20"/>
          <w:szCs w:val="20"/>
        </w:rPr>
      </w:pPr>
    </w:p>
    <w:p w:rsidR="00B86500" w:rsidRDefault="008A3557">
      <w:pPr>
        <w:pStyle w:val="a8"/>
      </w:pPr>
      <w:r>
        <w:rPr>
          <w:color w:val="auto"/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Остро-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Пластиковское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Чучковского</w:t>
      </w:r>
      <w:proofErr w:type="spellEnd"/>
      <w:r>
        <w:rPr>
          <w:color w:val="auto"/>
          <w:szCs w:val="28"/>
        </w:rPr>
        <w:t xml:space="preserve"> муниципального района Рязанской области учитывались градостроительные требования, в том числе:</w:t>
      </w:r>
    </w:p>
    <w:p w:rsidR="00B86500" w:rsidRDefault="008A3557">
      <w:pPr>
        <w:pStyle w:val="a8"/>
        <w:rPr>
          <w:color w:val="auto"/>
        </w:rPr>
      </w:pPr>
      <w:r>
        <w:rPr>
          <w:color w:val="auto"/>
        </w:rPr>
        <w:t>- рациональные формы расселения населения;</w:t>
      </w:r>
    </w:p>
    <w:p w:rsidR="00B86500" w:rsidRDefault="008A3557">
      <w:pPr>
        <w:pStyle w:val="a8"/>
        <w:rPr>
          <w:color w:val="auto"/>
        </w:rPr>
      </w:pPr>
      <w:r>
        <w:rPr>
          <w:color w:val="auto"/>
        </w:rPr>
        <w:t>- оптимальные варианты сочетания в пределах функциональных зон градостроительных объектов различного функционального назначения;</w:t>
      </w:r>
    </w:p>
    <w:p w:rsidR="00B86500" w:rsidRDefault="008A3557">
      <w:pPr>
        <w:pStyle w:val="a8"/>
        <w:rPr>
          <w:color w:val="auto"/>
        </w:rPr>
      </w:pPr>
      <w:r>
        <w:rPr>
          <w:color w:val="auto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B86500" w:rsidRDefault="008A3557">
      <w:pPr>
        <w:pStyle w:val="a8"/>
        <w:rPr>
          <w:color w:val="auto"/>
        </w:rPr>
      </w:pPr>
      <w:r>
        <w:rPr>
          <w:color w:val="auto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B86500" w:rsidRDefault="008A3557">
      <w:pPr>
        <w:pStyle w:val="a8"/>
        <w:rPr>
          <w:color w:val="auto"/>
        </w:rPr>
      </w:pPr>
      <w:r>
        <w:rPr>
          <w:color w:val="auto"/>
        </w:rP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B86500" w:rsidRDefault="008A3557">
      <w:pPr>
        <w:pStyle w:val="a8"/>
        <w:rPr>
          <w:color w:val="auto"/>
        </w:rPr>
      </w:pPr>
      <w:r>
        <w:rPr>
          <w:color w:val="auto"/>
        </w:rP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B86500" w:rsidRDefault="00B86500">
      <w:pPr>
        <w:pStyle w:val="a8"/>
        <w:rPr>
          <w:color w:val="auto"/>
          <w:sz w:val="20"/>
          <w:szCs w:val="20"/>
        </w:rPr>
      </w:pPr>
    </w:p>
    <w:p w:rsidR="00B86500" w:rsidRDefault="008A3557">
      <w:pPr>
        <w:pStyle w:val="1"/>
        <w:numPr>
          <w:ilvl w:val="0"/>
          <w:numId w:val="2"/>
        </w:numPr>
        <w:ind w:firstLine="709"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Перечень и назначение функциональных зон</w:t>
      </w:r>
    </w:p>
    <w:p w:rsidR="00B86500" w:rsidRDefault="00B86500">
      <w:pPr>
        <w:pStyle w:val="a8"/>
        <w:rPr>
          <w:color w:val="auto"/>
          <w:sz w:val="20"/>
          <w:szCs w:val="20"/>
        </w:rPr>
      </w:pPr>
    </w:p>
    <w:p w:rsidR="00B86500" w:rsidRDefault="008A3557">
      <w:pPr>
        <w:pStyle w:val="a8"/>
        <w:numPr>
          <w:ilvl w:val="0"/>
          <w:numId w:val="2"/>
        </w:numPr>
        <w:ind w:firstLine="709"/>
        <w:contextualSpacing/>
      </w:pPr>
      <w:r>
        <w:rPr>
          <w:rStyle w:val="20"/>
          <w:iCs/>
          <w:spacing w:val="5"/>
          <w:szCs w:val="28"/>
          <w:shd w:val="clear" w:color="auto" w:fill="FFFFFF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shd w:val="clear" w:color="auto" w:fill="FFFFFF"/>
          <w:lang w:eastAsia="ar-SA"/>
        </w:rPr>
        <w:t>-</w:t>
      </w:r>
      <w:r>
        <w:rPr>
          <w:rStyle w:val="20"/>
          <w:iCs/>
          <w:spacing w:val="5"/>
          <w:szCs w:val="28"/>
          <w:shd w:val="clear" w:color="auto" w:fill="FFFFFF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Остро-</w:t>
      </w:r>
      <w:proofErr w:type="spellStart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Пластиковское</w:t>
      </w:r>
      <w:proofErr w:type="spellEnd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Чучковского</w:t>
      </w:r>
      <w:proofErr w:type="spellEnd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shd w:val="clear" w:color="auto" w:fill="FFFFFF"/>
          <w:lang w:eastAsia="ar-SA"/>
        </w:rPr>
        <w:t xml:space="preserve"> муниципального района</w:t>
      </w:r>
      <w:r>
        <w:rPr>
          <w:rStyle w:val="20"/>
          <w:iCs/>
          <w:spacing w:val="5"/>
          <w:szCs w:val="28"/>
          <w:shd w:val="clear" w:color="auto" w:fill="FFFFFF"/>
        </w:rPr>
        <w:t xml:space="preserve"> Рязанской области установлены функциональные зоны, представленные в таблице </w:t>
      </w:r>
      <w:r>
        <w:rPr>
          <w:szCs w:val="28"/>
          <w:shd w:val="clear" w:color="auto" w:fill="FFFFFF"/>
        </w:rPr>
        <w:t xml:space="preserve">2.1.1. </w:t>
      </w:r>
    </w:p>
    <w:p w:rsidR="00B86500" w:rsidRDefault="008A3557">
      <w:pPr>
        <w:pStyle w:val="a8"/>
        <w:jc w:val="right"/>
      </w:pPr>
      <w:r>
        <w:lastRenderedPageBreak/>
        <w:t>Таблица 2.1.1</w:t>
      </w:r>
    </w:p>
    <w:tbl>
      <w:tblPr>
        <w:tblW w:w="993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837"/>
        <w:gridCol w:w="4548"/>
      </w:tblGrid>
      <w:tr w:rsidR="00B86500">
        <w:trPr>
          <w:trHeight w:val="45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№</w:t>
            </w:r>
          </w:p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Обозначение</w:t>
            </w:r>
          </w:p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</w:t>
            </w:r>
          </w:p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зоны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Наименование</w:t>
            </w:r>
          </w:p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</w:t>
            </w:r>
          </w:p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зоны</w:t>
            </w:r>
          </w:p>
        </w:tc>
        <w:tc>
          <w:tcPr>
            <w:tcW w:w="4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Назначение</w:t>
            </w:r>
          </w:p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функциональной зоны</w:t>
            </w:r>
          </w:p>
        </w:tc>
      </w:tr>
      <w:tr w:rsidR="00B86500">
        <w:trPr>
          <w:trHeight w:val="476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B8650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B86500"/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B86500"/>
        </w:tc>
        <w:tc>
          <w:tcPr>
            <w:tcW w:w="4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B86500"/>
        </w:tc>
      </w:tr>
      <w:tr w:rsidR="00B86500">
        <w:trPr>
          <w:trHeight w:val="1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2160" cy="375920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480" cy="37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0.7pt;height:29.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pacing w:before="57" w:after="57"/>
            </w:pPr>
            <w:r>
              <w:t>Жилые зоны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ind w:left="57" w:right="-57"/>
              <w:textAlignment w:val="baseline"/>
              <w:rPr>
                <w:sz w:val="24"/>
              </w:rPr>
            </w:pPr>
            <w:r>
              <w:rPr>
                <w:rFonts w:eastAsia="XO Thames;Times New Roman"/>
                <w:kern w:val="0"/>
                <w:sz w:val="24"/>
                <w:lang w:eastAsia="ar-SA"/>
              </w:rPr>
              <w:t xml:space="preserve">Жилая зона </w:t>
            </w:r>
            <w:r>
              <w:rPr>
                <w:sz w:val="24"/>
                <w:lang w:eastAsia="ar-SA"/>
              </w:rPr>
              <w:t xml:space="preserve">предназначена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B86500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2160" cy="375920"/>
                      <wp:effectExtent l="0" t="0" r="0" b="0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480" cy="37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ca7af5" stroked="t" style="position:absolute;margin-left:18.45pt;margin-top:3.95pt;width:60.7pt;height:29.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Зона специализированной общественной застройки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suppressLineNumbers/>
              <w:ind w:left="57"/>
              <w:textAlignment w:val="baseline"/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B86500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2795" cy="376555"/>
                      <wp:effectExtent l="0" t="0" r="0" b="0"/>
                      <wp:wrapNone/>
                      <wp:docPr id="3" name="Врезка13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200" cy="37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3" fillcolor="#636382" stroked="t" style="position:absolute;margin-left:18.45pt;margin-top:3.95pt;width:60.75pt;height:29.55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</w:pPr>
            <w:r>
              <w:t>Зона инженерной инфраструктуры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both"/>
            </w:pPr>
            <w:r>
      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B86500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2160" cy="375920"/>
                      <wp:effectExtent l="0" t="0" r="0" b="0"/>
                      <wp:wrapNone/>
                      <wp:docPr id="4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480" cy="37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ffb6" stroked="t" style="position:absolute;margin-left:18.45pt;margin-top:3.95pt;width:60.7pt;height:29.5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Зоны сельскохозяйственного использования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both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B86500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2160" cy="375920"/>
                      <wp:effectExtent l="0" t="0" r="0" b="0"/>
                      <wp:wrapNone/>
                      <wp:docPr id="5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480" cy="37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6" fillcolor="#cdaa66" stroked="t" style="position:absolute;margin-left:18.45pt;margin-top:3.95pt;width:60.7pt;height:29.5pt;v-text-anchor:middle">
                      <w10:wrap type="none"/>
                      <v:fill o:detectmouseclick="t" type="solid" color2="#3255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Иные зоны сельскохозяйственного назначения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numPr>
                <w:ilvl w:val="0"/>
                <w:numId w:val="3"/>
              </w:numPr>
              <w:jc w:val="both"/>
            </w:pPr>
            <w:r>
              <w:rPr>
                <w:rFonts w:eastAsia="Calibri"/>
                <w:kern w:val="0"/>
              </w:rPr>
              <w:t xml:space="preserve">Иная зона сельскохозяйственного назначения предназначена для </w:t>
            </w:r>
            <w:r>
              <w:t>сельскохозяйственного использования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 w:cs="Calibri"/>
                <w:kern w:val="0"/>
              </w:rPr>
              <w:t>в границах населенных пунктов.</w:t>
            </w:r>
          </w:p>
        </w:tc>
      </w:tr>
      <w:tr w:rsidR="00B86500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2160" cy="375920"/>
                      <wp:effectExtent l="0" t="0" r="0" b="0"/>
                      <wp:wrapNone/>
                      <wp:docPr id="6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480" cy="37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1c8f69" stroked="t" style="position:absolute;margin-left:18.45pt;margin-top:3.95pt;width:60.7pt;height:29.5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both"/>
            </w:pPr>
            <w:r>
              <w:rPr>
                <w:rStyle w:val="20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B86500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2795" cy="376555"/>
                      <wp:effectExtent l="0" t="0" r="0" b="0"/>
                      <wp:wrapNone/>
                      <wp:docPr id="7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200" cy="37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00ffc5" stroked="t" style="position:absolute;margin-left:18.45pt;margin-top:3.95pt;width:60.75pt;height:29.55pt;v-text-anchor:middle">
                      <w10:wrap type="none"/>
                      <v:fill o:detectmouseclick="t" type="solid" color2="#ff003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</w:pPr>
            <w: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numPr>
                <w:ilvl w:val="0"/>
                <w:numId w:val="3"/>
              </w:numPr>
              <w:jc w:val="both"/>
            </w:pPr>
            <w:proofErr w:type="gramStart"/>
            <w:r>
              <w:rPr>
                <w:rStyle w:val="20"/>
                <w:lang w:eastAsia="ar-SA"/>
              </w:rPr>
              <w:t xml:space="preserve">Зона озелененных территорий общего пользования (парки, сады, скверы, бульвары, городские леса) предназначена </w:t>
            </w:r>
            <w:r>
              <w:rPr>
                <w:rStyle w:val="20"/>
                <w:lang w:eastAsia="ru-RU"/>
              </w:rPr>
              <w:t xml:space="preserve">для организации мест отдыха населения и включает в себя лесопарки, </w:t>
            </w:r>
            <w:r>
              <w:rPr>
                <w:rStyle w:val="20"/>
                <w:lang w:eastAsia="ar-SA"/>
              </w:rPr>
              <w:t>парк</w:t>
            </w:r>
            <w:r>
              <w:rPr>
                <w:rStyle w:val="20"/>
              </w:rPr>
              <w:t>и</w:t>
            </w:r>
            <w:r>
              <w:rPr>
                <w:rStyle w:val="20"/>
                <w:lang w:eastAsia="ar-SA"/>
              </w:rPr>
              <w:t>, сад</w:t>
            </w:r>
            <w:r>
              <w:rPr>
                <w:rStyle w:val="20"/>
              </w:rPr>
              <w:t>ы</w:t>
            </w:r>
            <w:r>
              <w:rPr>
                <w:rStyle w:val="20"/>
                <w:lang w:eastAsia="ar-SA"/>
              </w:rPr>
              <w:t>, сквер</w:t>
            </w:r>
            <w:r>
              <w:rPr>
                <w:rStyle w:val="20"/>
              </w:rPr>
              <w:t>ы</w:t>
            </w:r>
            <w:r>
              <w:rPr>
                <w:rStyle w:val="20"/>
                <w:lang w:eastAsia="ar-SA"/>
              </w:rPr>
              <w:t>, бульвар</w:t>
            </w:r>
            <w:r>
              <w:rPr>
                <w:rStyle w:val="20"/>
              </w:rPr>
              <w:t>ы</w:t>
            </w:r>
            <w:r>
              <w:rPr>
                <w:rStyle w:val="20"/>
                <w:lang w:eastAsia="ar-SA"/>
              </w:rPr>
              <w:t xml:space="preserve">, </w:t>
            </w:r>
            <w:r>
              <w:rPr>
                <w:rStyle w:val="20"/>
              </w:rPr>
              <w:t>городские леса.</w:t>
            </w:r>
            <w:proofErr w:type="gramEnd"/>
          </w:p>
        </w:tc>
      </w:tr>
      <w:tr w:rsidR="00B86500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2160" cy="375920"/>
                      <wp:effectExtent l="0" t="0" r="0" b="0"/>
                      <wp:wrapNone/>
                      <wp:docPr id="8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480" cy="37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69b366" stroked="t" style="position:absolute;margin-left:18.45pt;margin-top:3.95pt;width:60.7pt;height:29.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Зона озелененных территорий специального назначения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both"/>
            </w:pPr>
            <w:r>
              <w:rPr>
                <w:rStyle w:val="20"/>
                <w:color w:val="auto"/>
                <w:kern w:val="0"/>
                <w:lang w:eastAsia="ru-RU"/>
              </w:rPr>
              <w:t>Зона озелененных территорий специального назначения</w:t>
            </w:r>
            <w:r>
              <w:rPr>
                <w:rStyle w:val="20"/>
                <w:color w:val="auto"/>
                <w:lang w:eastAsia="ru-RU"/>
              </w:rPr>
              <w:t xml:space="preserve"> предназначена для формирования озелененных участков, выполняющих санитарно-защитные функции.</w:t>
            </w:r>
          </w:p>
        </w:tc>
      </w:tr>
      <w:tr w:rsidR="00B86500">
        <w:trPr>
          <w:trHeight w:val="141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9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</w:pPr>
            <w:r>
              <w:t>Зона кладбищ</w:t>
            </w:r>
          </w:p>
        </w:tc>
        <w:tc>
          <w:tcPr>
            <w:tcW w:w="4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both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сооружений.</w:t>
            </w:r>
          </w:p>
        </w:tc>
      </w:tr>
    </w:tbl>
    <w:p w:rsidR="00B86500" w:rsidRDefault="008A3557">
      <w:pPr>
        <w:pStyle w:val="a8"/>
        <w:numPr>
          <w:ilvl w:val="0"/>
          <w:numId w:val="2"/>
        </w:numPr>
        <w:ind w:firstLine="737"/>
      </w:pPr>
      <w:r>
        <w:rPr>
          <w:iCs/>
          <w:szCs w:val="28"/>
          <w:shd w:val="clear" w:color="auto" w:fill="FFFFFF"/>
        </w:rPr>
        <w:t>Функциональн</w:t>
      </w:r>
      <w:r>
        <w:rPr>
          <w:iCs/>
          <w:shd w:val="clear" w:color="auto" w:fill="FFFFFF"/>
        </w:rPr>
        <w:t>ое</w:t>
      </w:r>
      <w:r>
        <w:rPr>
          <w:iCs/>
          <w:szCs w:val="28"/>
          <w:shd w:val="clear" w:color="auto" w:fill="FFFFFF"/>
        </w:rPr>
        <w:t xml:space="preserve"> зон</w:t>
      </w:r>
      <w:r>
        <w:rPr>
          <w:iCs/>
          <w:shd w:val="clear" w:color="auto" w:fill="FFFFFF"/>
        </w:rPr>
        <w:t>ирование</w:t>
      </w:r>
      <w:r>
        <w:rPr>
          <w:iCs/>
          <w:szCs w:val="28"/>
          <w:shd w:val="clear" w:color="auto" w:fill="FFFFFF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shd w:val="clear" w:color="auto" w:fill="FFFFFF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shd w:val="clear" w:color="auto" w:fill="FFFFFF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shd w:val="clear" w:color="auto" w:fill="FFFFFF"/>
          <w:lang w:eastAsia="ar-SA"/>
        </w:rPr>
        <w:t>–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shd w:val="clear" w:color="auto" w:fill="FFFFFF"/>
          <w:lang w:eastAsia="en-US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Остро-</w:t>
      </w:r>
      <w:proofErr w:type="spellStart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Пластиковское</w:t>
      </w:r>
      <w:proofErr w:type="spellEnd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Чучковского</w:t>
      </w:r>
      <w:proofErr w:type="spellEnd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shd w:val="clear" w:color="auto" w:fill="FFFFFF"/>
          <w:lang w:eastAsia="ar-SA"/>
        </w:rPr>
        <w:t xml:space="preserve"> муниципального района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shd w:val="clear" w:color="auto" w:fill="FFFFFF"/>
          <w:lang w:eastAsia="en-US"/>
        </w:rPr>
        <w:t xml:space="preserve"> </w:t>
      </w:r>
      <w:r>
        <w:rPr>
          <w:rStyle w:val="-"/>
          <w:bCs/>
          <w:iCs/>
          <w:color w:val="000000"/>
          <w:spacing w:val="5"/>
          <w:szCs w:val="28"/>
          <w:u w:val="none"/>
          <w:shd w:val="clear" w:color="auto" w:fill="FFFFFF"/>
        </w:rPr>
        <w:t>Р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shd w:val="clear" w:color="auto" w:fill="FFFFFF"/>
          <w:lang w:eastAsia="en-US"/>
        </w:rPr>
        <w:t xml:space="preserve">язанской области </w:t>
      </w:r>
      <w:r>
        <w:rPr>
          <w:rStyle w:val="-"/>
          <w:bCs/>
          <w:iCs/>
          <w:color w:val="000000"/>
          <w:u w:val="none"/>
          <w:shd w:val="clear" w:color="auto" w:fill="FFFFFF"/>
        </w:rPr>
        <w:t xml:space="preserve">отображено на карте функциональных зон. </w:t>
      </w:r>
    </w:p>
    <w:p w:rsidR="00B86500" w:rsidRDefault="00B86500">
      <w:pPr>
        <w:pStyle w:val="a8"/>
        <w:rPr>
          <w:rStyle w:val="-"/>
          <w:bCs/>
          <w:iCs/>
          <w:color w:val="000000"/>
          <w:u w:val="none"/>
          <w:shd w:val="clear" w:color="auto" w:fill="FFFF00"/>
        </w:rPr>
      </w:pPr>
    </w:p>
    <w:p w:rsidR="00B86500" w:rsidRDefault="008A3557">
      <w:pPr>
        <w:pStyle w:val="1"/>
        <w:numPr>
          <w:ilvl w:val="0"/>
          <w:numId w:val="2"/>
        </w:numPr>
        <w:ind w:firstLine="709"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</w:t>
      </w:r>
    </w:p>
    <w:p w:rsidR="00B86500" w:rsidRDefault="00B86500">
      <w:pPr>
        <w:pStyle w:val="a8"/>
        <w:rPr>
          <w:color w:val="auto"/>
          <w:sz w:val="20"/>
          <w:szCs w:val="20"/>
        </w:rPr>
      </w:pPr>
    </w:p>
    <w:p w:rsidR="00B86500" w:rsidRDefault="008A3557">
      <w:pPr>
        <w:pStyle w:val="a8"/>
        <w:numPr>
          <w:ilvl w:val="0"/>
          <w:numId w:val="3"/>
        </w:numPr>
        <w:ind w:firstLine="709"/>
      </w:pPr>
      <w:r>
        <w:rPr>
          <w:rStyle w:val="-"/>
          <w:bCs/>
          <w:iCs/>
          <w:color w:val="000000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муниципального образования – </w:t>
      </w:r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Остро-</w:t>
      </w:r>
      <w:proofErr w:type="spellStart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Пластиковское</w:t>
      </w:r>
      <w:proofErr w:type="spellEnd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Чучковского</w:t>
      </w:r>
      <w:proofErr w:type="spellEnd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</w:t>
      </w:r>
      <w:r>
        <w:rPr>
          <w:rStyle w:val="-"/>
          <w:bCs/>
          <w:iCs/>
          <w:color w:val="000000"/>
          <w:spacing w:val="5"/>
          <w:szCs w:val="28"/>
          <w:u w:val="none"/>
        </w:rPr>
        <w:t>Р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язанской области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</w:rPr>
        <w:t xml:space="preserve"> в таблице</w:t>
      </w:r>
      <w:r>
        <w:rPr>
          <w:szCs w:val="28"/>
        </w:rPr>
        <w:t xml:space="preserve"> 2.2.1.</w:t>
      </w:r>
    </w:p>
    <w:p w:rsidR="00B86500" w:rsidRDefault="00B86500">
      <w:pPr>
        <w:pStyle w:val="a8"/>
        <w:numPr>
          <w:ilvl w:val="0"/>
          <w:numId w:val="3"/>
        </w:numPr>
        <w:ind w:firstLine="709"/>
        <w:rPr>
          <w:szCs w:val="28"/>
        </w:rPr>
      </w:pPr>
    </w:p>
    <w:p w:rsidR="00B86500" w:rsidRDefault="008A3557">
      <w:pPr>
        <w:pStyle w:val="a8"/>
        <w:jc w:val="right"/>
      </w:pPr>
      <w:r>
        <w:t>Таблица 2.2.1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"/>
        <w:gridCol w:w="3114"/>
        <w:gridCol w:w="1150"/>
        <w:gridCol w:w="1815"/>
        <w:gridCol w:w="1807"/>
        <w:gridCol w:w="1603"/>
      </w:tblGrid>
      <w:tr w:rsidR="00B86500">
        <w:trPr>
          <w:trHeight w:val="497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№</w:t>
            </w:r>
          </w:p>
          <w:p w:rsidR="00B86500" w:rsidRDefault="008A3557">
            <w:pPr>
              <w:pStyle w:val="ae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  <w:ind w:left="113"/>
            </w:pPr>
            <w:r>
              <w:t>Наименование</w:t>
            </w:r>
          </w:p>
          <w:p w:rsidR="00B86500" w:rsidRDefault="008A3557">
            <w:pPr>
              <w:pStyle w:val="ae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Максимальная этажность</w:t>
            </w:r>
          </w:p>
        </w:tc>
      </w:tr>
      <w:tr w:rsidR="00B86500">
        <w:trPr>
          <w:trHeight w:hRule="exact" w:val="312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</w:pPr>
            <w:r>
              <w:rPr>
                <w:shd w:val="clear" w:color="auto" w:fill="FFFFFF"/>
              </w:rPr>
              <w:t>369,89</w:t>
            </w:r>
          </w:p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B86500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</w:pPr>
            <w: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B86500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B86500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B86500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5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B86500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B86500"/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B86500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0,23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86500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0,40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B86500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6826,25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</w:tr>
      <w:tr w:rsidR="00B86500">
        <w:trPr>
          <w:trHeight w:hRule="exact" w:val="921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 сельскохозяйственного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3,20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</w:tr>
      <w:tr w:rsidR="00B86500">
        <w:trPr>
          <w:trHeight w:hRule="exact" w:val="449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6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ind w:left="57"/>
              <w:jc w:val="left"/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rPr>
                <w:shd w:val="clear" w:color="auto" w:fill="FFFFFF"/>
              </w:rPr>
              <w:t>1976,43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</w:tr>
      <w:tr w:rsidR="00B86500">
        <w:trPr>
          <w:trHeight w:hRule="exact" w:val="1436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lastRenderedPageBreak/>
              <w:t>7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</w:pPr>
            <w: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0,16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B86500">
            <w:pPr>
              <w:pStyle w:val="ae"/>
              <w:widowControl w:val="0"/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B86500">
            <w:pPr>
              <w:pStyle w:val="ae"/>
              <w:widowControl w:val="0"/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B86500">
            <w:pPr>
              <w:pStyle w:val="ae"/>
              <w:widowControl w:val="0"/>
            </w:pPr>
          </w:p>
        </w:tc>
      </w:tr>
      <w:tr w:rsidR="00B86500">
        <w:trPr>
          <w:trHeight w:hRule="exact" w:val="832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8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Зона озелененных территорий специального назначения 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2,36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</w:tr>
      <w:tr w:rsidR="00B86500">
        <w:trPr>
          <w:trHeight w:hRule="exact" w:val="458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1,07</w:t>
            </w:r>
          </w:p>
          <w:p w:rsidR="00B86500" w:rsidRDefault="00B86500">
            <w:pPr>
              <w:pStyle w:val="ae"/>
              <w:widowControl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86500" w:rsidRDefault="008A3557">
            <w:pPr>
              <w:pStyle w:val="ae"/>
              <w:widowControl w:val="0"/>
            </w:pPr>
            <w:r>
              <w:t>-</w:t>
            </w:r>
          </w:p>
        </w:tc>
      </w:tr>
      <w:tr w:rsidR="00B86500">
        <w:trPr>
          <w:trHeight w:hRule="exact" w:val="6149"/>
        </w:trPr>
        <w:tc>
          <w:tcPr>
            <w:tcW w:w="99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ind w:left="57" w:right="57" w:firstLine="567"/>
              <w:rPr>
                <w:rFonts w:eastAsia="Calibri" w:cs="Calibri"/>
                <w:kern w:val="0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Примечания:</w:t>
            </w:r>
          </w:p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ind w:left="57" w:right="57" w:firstLine="567"/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kern w:val="0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B86500" w:rsidRDefault="008A3557">
            <w:pPr>
              <w:pStyle w:val="a8"/>
              <w:widowControl w:val="0"/>
              <w:numPr>
                <w:ilvl w:val="0"/>
                <w:numId w:val="3"/>
              </w:numPr>
              <w:ind w:left="57" w:right="57" w:firstLine="567"/>
              <w:rPr>
                <w:rFonts w:eastAsia="Calibri" w:cs="Calibri"/>
                <w:kern w:val="0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B86500" w:rsidRDefault="00B86500">
      <w:pPr>
        <w:pStyle w:val="a8"/>
        <w:rPr>
          <w:color w:val="auto"/>
          <w:sz w:val="24"/>
        </w:rPr>
      </w:pPr>
    </w:p>
    <w:p w:rsidR="00B86500" w:rsidRDefault="008A3557">
      <w:pPr>
        <w:pStyle w:val="1"/>
        <w:numPr>
          <w:ilvl w:val="0"/>
          <w:numId w:val="2"/>
        </w:numPr>
        <w:ind w:firstLine="709"/>
        <w:contextualSpacing/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2.3. Сведения о планируемых для размещения в функциональных зонах объектах федерального значения, объектах регионального значения, объектах местного значения </w:t>
      </w:r>
    </w:p>
    <w:p w:rsidR="00B86500" w:rsidRDefault="00B86500">
      <w:pPr>
        <w:pStyle w:val="a8"/>
        <w:rPr>
          <w:color w:val="auto"/>
          <w:sz w:val="20"/>
          <w:szCs w:val="20"/>
        </w:rPr>
      </w:pPr>
    </w:p>
    <w:p w:rsidR="00B86500" w:rsidRDefault="008A3557">
      <w:pPr>
        <w:pStyle w:val="a8"/>
        <w:suppressLineNumbers/>
        <w:contextualSpacing/>
      </w:pPr>
      <w:r>
        <w:rPr>
          <w:rStyle w:val="-"/>
          <w:color w:val="000000"/>
          <w:szCs w:val="28"/>
          <w:u w:val="none"/>
          <w:shd w:val="clear" w:color="auto" w:fill="FFFFFF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shd w:val="clear" w:color="auto" w:fill="FFFFFF"/>
          <w:lang w:eastAsia="ar-SA"/>
        </w:rPr>
        <w:t>–</w:t>
      </w:r>
      <w:r>
        <w:rPr>
          <w:rStyle w:val="-"/>
          <w:color w:val="000000"/>
          <w:szCs w:val="28"/>
          <w:u w:val="none"/>
          <w:shd w:val="clear" w:color="auto" w:fill="FFFFFF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Остро-</w:t>
      </w:r>
      <w:proofErr w:type="spellStart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Пластиковское</w:t>
      </w:r>
      <w:proofErr w:type="spellEnd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spacing w:val="5"/>
          <w:kern w:val="0"/>
          <w:szCs w:val="28"/>
          <w:u w:val="none"/>
          <w:lang w:eastAsia="ar-SA"/>
        </w:rPr>
        <w:t>Чучковского</w:t>
      </w:r>
      <w:proofErr w:type="spellEnd"/>
      <w:r>
        <w:rPr>
          <w:rStyle w:val="-"/>
          <w:bCs/>
          <w:iCs/>
          <w:color w:val="000000"/>
          <w:kern w:val="0"/>
          <w:szCs w:val="28"/>
          <w:u w:val="none"/>
          <w:shd w:val="clear" w:color="auto" w:fill="FFFFFF"/>
          <w:lang w:eastAsia="ru-RU"/>
        </w:rPr>
        <w:t xml:space="preserve"> муниципального района Рязанской области</w:t>
      </w:r>
      <w:r>
        <w:rPr>
          <w:rStyle w:val="-"/>
          <w:color w:val="000000"/>
          <w:szCs w:val="28"/>
          <w:u w:val="none"/>
          <w:shd w:val="clear" w:color="auto" w:fill="FFFFFF"/>
        </w:rPr>
        <w:t xml:space="preserve"> утвержденными документами территориального планирования не планируется размещение объектов федерального, регионального значения и местного значения.</w:t>
      </w:r>
    </w:p>
    <w:p w:rsidR="00B86500" w:rsidRDefault="00B86500">
      <w:pPr>
        <w:pStyle w:val="a8"/>
        <w:suppressLineNumbers/>
        <w:contextualSpacing/>
        <w:rPr>
          <w:rStyle w:val="-"/>
          <w:iCs/>
          <w:color w:val="000000"/>
          <w:szCs w:val="28"/>
          <w:u w:val="none"/>
          <w:shd w:val="clear" w:color="auto" w:fill="FFFFFF"/>
        </w:rPr>
      </w:pPr>
    </w:p>
    <w:sectPr w:rsidR="00B8650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C3" w:rsidRDefault="00BB72C3">
      <w:pPr>
        <w:spacing w:before="0" w:after="0"/>
      </w:pPr>
      <w:r>
        <w:separator/>
      </w:r>
    </w:p>
  </w:endnote>
  <w:endnote w:type="continuationSeparator" w:id="0">
    <w:p w:rsidR="00BB72C3" w:rsidRDefault="00BB72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B8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B8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C3" w:rsidRDefault="00BB72C3">
      <w:pPr>
        <w:spacing w:before="0" w:after="0"/>
      </w:pPr>
      <w:r>
        <w:separator/>
      </w:r>
    </w:p>
  </w:footnote>
  <w:footnote w:type="continuationSeparator" w:id="0">
    <w:p w:rsidR="00BB72C3" w:rsidRDefault="00BB72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8A3557">
    <w:r>
      <w:fldChar w:fldCharType="begin"/>
    </w:r>
    <w:r>
      <w:instrText>PAGE</w:instrText>
    </w:r>
    <w:r>
      <w:fldChar w:fldCharType="separate"/>
    </w:r>
    <w:r w:rsidR="00D16619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B8650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71F"/>
    <w:multiLevelType w:val="multilevel"/>
    <w:tmpl w:val="6246B2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B50EE7"/>
    <w:multiLevelType w:val="multilevel"/>
    <w:tmpl w:val="EE0005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2674CDD"/>
    <w:multiLevelType w:val="multilevel"/>
    <w:tmpl w:val="23CA5F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6500"/>
    <w:rsid w:val="005E750D"/>
    <w:rsid w:val="008A3557"/>
    <w:rsid w:val="00970061"/>
    <w:rsid w:val="00B86500"/>
    <w:rsid w:val="00BB72C3"/>
    <w:rsid w:val="00D16619"/>
    <w:rsid w:val="00E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516</cp:revision>
  <cp:lastPrinted>2025-04-17T14:46:00Z</cp:lastPrinted>
  <dcterms:created xsi:type="dcterms:W3CDTF">2024-01-19T12:41:00Z</dcterms:created>
  <dcterms:modified xsi:type="dcterms:W3CDTF">2025-04-17T14:47:00Z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