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C9" w:rsidRDefault="00BB2526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6C9" w:rsidRDefault="00BB252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EC56C9" w:rsidRDefault="00BB2526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EC56C9" w:rsidRDefault="00EC56C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C56C9" w:rsidRDefault="00EC56C9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EC56C9" w:rsidRDefault="00BB252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C56C9" w:rsidRDefault="00EC56C9">
      <w:pPr>
        <w:tabs>
          <w:tab w:val="left" w:pos="709"/>
        </w:tabs>
        <w:jc w:val="center"/>
        <w:rPr>
          <w:sz w:val="22"/>
          <w:szCs w:val="16"/>
        </w:rPr>
      </w:pPr>
    </w:p>
    <w:p w:rsidR="00EC56C9" w:rsidRDefault="00EC56C9">
      <w:pPr>
        <w:tabs>
          <w:tab w:val="left" w:pos="709"/>
        </w:tabs>
        <w:jc w:val="center"/>
        <w:rPr>
          <w:sz w:val="22"/>
          <w:szCs w:val="16"/>
        </w:rPr>
      </w:pPr>
    </w:p>
    <w:p w:rsidR="00EC56C9" w:rsidRDefault="00BB252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F3CFB">
        <w:rPr>
          <w:sz w:val="28"/>
        </w:rPr>
        <w:t>10» апреля 2</w:t>
      </w:r>
      <w:r>
        <w:rPr>
          <w:sz w:val="28"/>
        </w:rPr>
        <w:t xml:space="preserve">025 г.                                                                        </w:t>
      </w:r>
      <w:r w:rsidR="003F3CFB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№ </w:t>
      </w:r>
      <w:r w:rsidR="003F3CFB">
        <w:rPr>
          <w:sz w:val="28"/>
        </w:rPr>
        <w:t>263-п</w:t>
      </w:r>
    </w:p>
    <w:p w:rsidR="00EC56C9" w:rsidRDefault="00EC56C9">
      <w:pPr>
        <w:tabs>
          <w:tab w:val="left" w:pos="709"/>
        </w:tabs>
        <w:jc w:val="both"/>
        <w:rPr>
          <w:sz w:val="22"/>
          <w:szCs w:val="16"/>
        </w:rPr>
      </w:pPr>
    </w:p>
    <w:p w:rsidR="00EC56C9" w:rsidRDefault="00EC56C9">
      <w:pPr>
        <w:tabs>
          <w:tab w:val="left" w:pos="709"/>
        </w:tabs>
        <w:jc w:val="both"/>
        <w:rPr>
          <w:sz w:val="22"/>
          <w:szCs w:val="16"/>
        </w:rPr>
      </w:pPr>
    </w:p>
    <w:p w:rsidR="00EC56C9" w:rsidRDefault="00BB2526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Тимошкинское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Шиловского муниципального района Рязанской области</w:t>
      </w:r>
    </w:p>
    <w:p w:rsidR="00EC56C9" w:rsidRDefault="00EC56C9">
      <w:pPr>
        <w:tabs>
          <w:tab w:val="left" w:pos="709"/>
        </w:tabs>
        <w:jc w:val="both"/>
        <w:rPr>
          <w:sz w:val="22"/>
          <w:szCs w:val="16"/>
          <w:highlight w:val="white"/>
        </w:rPr>
      </w:pPr>
    </w:p>
    <w:p w:rsidR="00EC56C9" w:rsidRDefault="00BB2526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 xml:space="preserve">ИП Главы КФХ </w:t>
      </w:r>
      <w:proofErr w:type="spellStart"/>
      <w:r>
        <w:rPr>
          <w:color w:val="auto"/>
          <w:sz w:val="28"/>
          <w:szCs w:val="28"/>
        </w:rPr>
        <w:t>Манакина</w:t>
      </w:r>
      <w:proofErr w:type="spellEnd"/>
      <w:r>
        <w:rPr>
          <w:color w:val="auto"/>
          <w:sz w:val="28"/>
          <w:szCs w:val="28"/>
        </w:rPr>
        <w:t xml:space="preserve"> И.И.</w:t>
      </w:r>
      <w:r>
        <w:rPr>
          <w:color w:val="000000" w:themeColor="text1"/>
          <w:sz w:val="28"/>
          <w:szCs w:val="28"/>
        </w:rPr>
        <w:t>, статьи 33 Гр</w:t>
      </w:r>
      <w:r>
        <w:rPr>
          <w:color w:val="000000" w:themeColor="text1"/>
          <w:sz w:val="28"/>
          <w:szCs w:val="28"/>
        </w:rPr>
        <w:t xml:space="preserve">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000000" w:themeColor="text1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Ряз</w:t>
      </w:r>
      <w:r>
        <w:rPr>
          <w:color w:val="000000" w:themeColor="text1"/>
          <w:sz w:val="28"/>
          <w:szCs w:val="28"/>
        </w:rPr>
        <w:t xml:space="preserve">анской области и органами государственной власти 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03.04.2025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</w:t>
      </w:r>
      <w:r>
        <w:rPr>
          <w:color w:val="000000" w:themeColor="text1"/>
          <w:sz w:val="28"/>
          <w:szCs w:val="28"/>
        </w:rPr>
        <w:t xml:space="preserve">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EC56C9" w:rsidRDefault="00BB2526" w:rsidP="00BB2526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</w:t>
      </w:r>
      <w:r>
        <w:rPr>
          <w:color w:val="000000" w:themeColor="text1"/>
          <w:sz w:val="28"/>
          <w:szCs w:val="28"/>
        </w:rPr>
        <w:t xml:space="preserve">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Тимошкинское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01.11.2023 № 546-п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Тимошкинское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Шиловского </w:t>
      </w:r>
      <w:r>
        <w:rPr>
          <w:color w:val="000000" w:themeColor="text1"/>
          <w:sz w:val="28"/>
        </w:rPr>
        <w:t>муниципального района Рязанской области</w:t>
      </w:r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t xml:space="preserve">», </w:t>
      </w:r>
      <w:r>
        <w:rPr>
          <w:color w:val="auto"/>
          <w:sz w:val="28"/>
          <w:szCs w:val="28"/>
        </w:rPr>
        <w:t>в части:</w:t>
      </w:r>
    </w:p>
    <w:p w:rsidR="00EC56C9" w:rsidRDefault="00BB2526">
      <w:pPr>
        <w:widowControl w:val="0"/>
        <w:ind w:firstLine="850"/>
        <w:jc w:val="both"/>
      </w:pPr>
      <w:r>
        <w:rPr>
          <w:color w:val="000000" w:themeColor="text1"/>
          <w:sz w:val="28"/>
        </w:rPr>
        <w:t>–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 xml:space="preserve"> дополнения перечня территориальных зон зоной «Зона отдыха»</w:t>
      </w:r>
      <w:r>
        <w:t>;</w:t>
      </w:r>
    </w:p>
    <w:p w:rsidR="00EC56C9" w:rsidRDefault="00BB2526">
      <w:pPr>
        <w:widowControl w:val="0"/>
        <w:ind w:firstLine="850"/>
        <w:jc w:val="both"/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</w:rPr>
      </w:pPr>
      <w:r>
        <w:rPr>
          <w:color w:val="000000" w:themeColor="text1"/>
          <w:sz w:val="28"/>
        </w:rPr>
        <w:t>–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 xml:space="preserve"> </w:t>
      </w:r>
      <w:r>
        <w:rPr>
          <w:color w:val="000000" w:themeColor="text1"/>
          <w:sz w:val="28"/>
          <w:szCs w:val="28"/>
          <w:lang w:eastAsia="ar-SA"/>
        </w:rPr>
        <w:t>установления для территориальной зоны «Зона отдыха» основного вида разрешенного использования земельных участков и о</w:t>
      </w:r>
      <w:r>
        <w:rPr>
          <w:rStyle w:val="54"/>
          <w:rFonts w:eastAsia="PT Astra Serif"/>
          <w:color w:val="000000" w:themeColor="text1"/>
          <w:spacing w:val="0"/>
          <w:sz w:val="28"/>
          <w:szCs w:val="28"/>
          <w:u w:val="none"/>
          <w:lang w:eastAsia="ar-SA"/>
        </w:rPr>
        <w:t>бъектов капитального строительства «Туристическое обслуживание (5.2.1)»;</w:t>
      </w:r>
    </w:p>
    <w:p w:rsidR="00EC56C9" w:rsidRDefault="00BB2526">
      <w:pPr>
        <w:widowControl w:val="0"/>
        <w:ind w:firstLine="8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–</w:t>
      </w:r>
      <w:r>
        <w:rPr>
          <w:color w:val="000000" w:themeColor="text1"/>
          <w:sz w:val="28"/>
          <w:szCs w:val="28"/>
        </w:rPr>
        <w:t xml:space="preserve"> установления предельных размеров земельных участков, в том чис</w:t>
      </w:r>
      <w:r>
        <w:rPr>
          <w:color w:val="000000" w:themeColor="text1"/>
          <w:sz w:val="28"/>
          <w:szCs w:val="28"/>
        </w:rPr>
        <w:t>ле их площади, и предельных параметров разрешенного строительства, реконструкции объектов капитального строительства согласно таблице:</w:t>
      </w:r>
    </w:p>
    <w:p w:rsidR="00EC56C9" w:rsidRDefault="00EC56C9">
      <w:pPr>
        <w:widowControl w:val="0"/>
        <w:ind w:firstLine="850"/>
        <w:jc w:val="both"/>
        <w:rPr>
          <w:color w:val="000000" w:themeColor="text1"/>
          <w:sz w:val="20"/>
        </w:rPr>
      </w:pP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078"/>
        <w:gridCol w:w="1079"/>
        <w:gridCol w:w="1224"/>
        <w:gridCol w:w="1103"/>
        <w:gridCol w:w="1347"/>
        <w:gridCol w:w="1862"/>
        <w:gridCol w:w="1320"/>
      </w:tblGrid>
      <w:tr w:rsidR="00EC56C9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6C9" w:rsidRDefault="00BB2526">
            <w:pPr>
              <w:pStyle w:val="aff8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Код</w:t>
            </w:r>
          </w:p>
          <w:p w:rsidR="00EC56C9" w:rsidRDefault="00BB2526">
            <w:pPr>
              <w:pStyle w:val="aff8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EC56C9" w:rsidRDefault="00BB2526">
            <w:pPr>
              <w:pStyle w:val="aff8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rPr>
                <w:szCs w:val="24"/>
              </w:rPr>
              <w:t xml:space="preserve">Размер </w:t>
            </w:r>
            <w:r>
              <w:rPr>
                <w:szCs w:val="24"/>
              </w:rPr>
              <w:t>земельного</w:t>
            </w:r>
          </w:p>
          <w:p w:rsidR="00EC56C9" w:rsidRDefault="00BB2526">
            <w:pPr>
              <w:pStyle w:val="aff8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rPr>
                <w:szCs w:val="24"/>
              </w:rPr>
              <w:t>Площадь земельного</w:t>
            </w:r>
          </w:p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кв.м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6C9" w:rsidRDefault="00BB2526">
            <w:pPr>
              <w:pStyle w:val="aff8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EC56C9" w:rsidRDefault="00BB2526">
            <w:pPr>
              <w:pStyle w:val="aff8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EC56C9" w:rsidRDefault="00BB2526">
            <w:pPr>
              <w:pStyle w:val="aff8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EC56C9" w:rsidRDefault="00BB2526">
            <w:pPr>
              <w:pStyle w:val="aff8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>(м)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6C9" w:rsidRDefault="00BB2526">
            <w:pPr>
              <w:pStyle w:val="aff8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EC56C9" w:rsidRDefault="00BB2526">
            <w:pPr>
              <w:pStyle w:val="aff8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EC56C9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6C9" w:rsidRDefault="00EC56C9">
            <w:pPr>
              <w:pStyle w:val="aff8"/>
              <w:widowControl w:val="0"/>
              <w:ind w:left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6C9" w:rsidRDefault="00EC56C9">
            <w:pPr>
              <w:pStyle w:val="aff8"/>
              <w:widowControl w:val="0"/>
              <w:jc w:val="center"/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6C9" w:rsidRDefault="00EC56C9">
            <w:pPr>
              <w:pStyle w:val="aff8"/>
              <w:widowControl w:val="0"/>
              <w:ind w:left="0"/>
              <w:jc w:val="center"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6C9" w:rsidRDefault="00EC56C9">
            <w:pPr>
              <w:pStyle w:val="aff8"/>
              <w:widowControl w:val="0"/>
              <w:ind w:left="0"/>
              <w:jc w:val="center"/>
            </w:pPr>
          </w:p>
        </w:tc>
      </w:tr>
      <w:tr w:rsidR="00EC56C9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EC56C9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5.2.1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10 000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60 000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2/10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6C9" w:rsidRDefault="00BB2526">
            <w:pPr>
              <w:pStyle w:val="aff8"/>
              <w:widowControl w:val="0"/>
              <w:ind w:left="0"/>
              <w:jc w:val="center"/>
            </w:pPr>
            <w:r>
              <w:rPr>
                <w:color w:val="000000"/>
              </w:rPr>
              <w:t>20</w:t>
            </w:r>
          </w:p>
        </w:tc>
      </w:tr>
    </w:tbl>
    <w:p w:rsidR="00EC56C9" w:rsidRDefault="00EC56C9">
      <w:pPr>
        <w:widowControl w:val="0"/>
        <w:ind w:firstLine="850"/>
        <w:jc w:val="both"/>
        <w:rPr>
          <w:color w:val="auto"/>
          <w:sz w:val="20"/>
          <w:szCs w:val="14"/>
        </w:rPr>
      </w:pPr>
    </w:p>
    <w:p w:rsidR="00EC56C9" w:rsidRDefault="00BB2526">
      <w:pPr>
        <w:widowControl w:val="0"/>
        <w:ind w:firstLine="850"/>
        <w:jc w:val="both"/>
        <w:rPr>
          <w:color w:val="auto"/>
        </w:rPr>
      </w:pPr>
      <w:r>
        <w:rPr>
          <w:color w:val="000000" w:themeColor="text1"/>
          <w:sz w:val="28"/>
        </w:rPr>
        <w:t>–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lang w:eastAsia="ar-SA"/>
        </w:rPr>
        <w:t>отнесения земельного участка с кадастровым номером 62:25:0080102:977, площадью 57693 кв. м, к территориальной зоне «Зона отдыха»</w:t>
      </w:r>
      <w:r>
        <w:rPr>
          <w:color w:val="auto"/>
        </w:rPr>
        <w:t xml:space="preserve"> </w:t>
      </w:r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t>(д</w:t>
      </w:r>
      <w:r>
        <w:rPr>
          <w:color w:val="000000" w:themeColor="text1"/>
          <w:sz w:val="28"/>
          <w:szCs w:val="28"/>
        </w:rPr>
        <w:t>алее – проект внесения изменений в правила землепользования и застройки)</w:t>
      </w:r>
      <w:r>
        <w:rPr>
          <w:color w:val="auto"/>
        </w:rPr>
        <w:t>.</w:t>
      </w:r>
    </w:p>
    <w:p w:rsidR="00EC56C9" w:rsidRDefault="00BB2526" w:rsidP="00BB2526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 xml:space="preserve">заинтересованному лицу ИП Главе КФХ </w:t>
      </w:r>
      <w:proofErr w:type="spellStart"/>
      <w:r>
        <w:rPr>
          <w:color w:val="auto"/>
          <w:sz w:val="28"/>
          <w:szCs w:val="28"/>
          <w:lang w:eastAsia="ar-SA"/>
        </w:rPr>
        <w:t>Манакину</w:t>
      </w:r>
      <w:proofErr w:type="spellEnd"/>
      <w:r>
        <w:rPr>
          <w:color w:val="auto"/>
          <w:sz w:val="28"/>
          <w:szCs w:val="28"/>
          <w:lang w:eastAsia="ar-SA"/>
        </w:rPr>
        <w:t xml:space="preserve"> И.И.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3F3CFB">
        <w:rPr>
          <w:color w:val="000000" w:themeColor="text1"/>
          <w:sz w:val="28"/>
          <w:szCs w:val="28"/>
        </w:rPr>
        <w:t>.</w:t>
      </w:r>
    </w:p>
    <w:p w:rsidR="00EC56C9" w:rsidRDefault="00BB2526" w:rsidP="00BB2526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EC56C9" w:rsidRDefault="00BB2526" w:rsidP="00BB2526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EC56C9" w:rsidRDefault="00BB2526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 xml:space="preserve"> 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государственную регистр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EC56C9" w:rsidRDefault="00BB2526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EC56C9" w:rsidRDefault="00BB2526" w:rsidP="00BB2526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</w:t>
      </w:r>
      <w:r>
        <w:rPr>
          <w:color w:val="000000" w:themeColor="text1"/>
          <w:sz w:val="28"/>
          <w:szCs w:val="28"/>
        </w:rPr>
        <w:t>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EC56C9" w:rsidRDefault="00BB2526" w:rsidP="00BB2526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color w:val="auto"/>
          <w:sz w:val="28"/>
          <w:szCs w:val="28"/>
          <w:lang w:eastAsia="ar-SA"/>
        </w:rPr>
        <w:t>Шиловс</w:t>
      </w:r>
      <w:r>
        <w:rPr>
          <w:color w:val="auto"/>
          <w:sz w:val="28"/>
          <w:szCs w:val="28"/>
          <w:lang w:eastAsia="ar-SA"/>
        </w:rPr>
        <w:t xml:space="preserve">кий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Тимошкинское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Шиловского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</w:t>
      </w:r>
      <w:r>
        <w:rPr>
          <w:color w:val="000000" w:themeColor="text1"/>
          <w:sz w:val="28"/>
          <w:szCs w:val="28"/>
        </w:rPr>
        <w:t xml:space="preserve"> в сети «Интернет», публикацию в средствах массовой информации.</w:t>
      </w:r>
    </w:p>
    <w:p w:rsidR="00EC56C9" w:rsidRDefault="00BB2526" w:rsidP="00BB2526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EC56C9" w:rsidRDefault="00EC56C9">
      <w:pPr>
        <w:widowControl w:val="0"/>
        <w:ind w:left="142"/>
        <w:jc w:val="both"/>
        <w:rPr>
          <w:sz w:val="22"/>
          <w:szCs w:val="16"/>
          <w:highlight w:val="yellow"/>
        </w:rPr>
      </w:pPr>
    </w:p>
    <w:p w:rsidR="00EC56C9" w:rsidRDefault="00EC56C9">
      <w:pPr>
        <w:widowControl w:val="0"/>
        <w:jc w:val="both"/>
        <w:rPr>
          <w:color w:val="auto"/>
          <w:sz w:val="22"/>
          <w:szCs w:val="16"/>
          <w:highlight w:val="white"/>
        </w:rPr>
      </w:pPr>
    </w:p>
    <w:p w:rsidR="00EC56C9" w:rsidRDefault="00BB2526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</w:t>
      </w:r>
      <w:r>
        <w:rPr>
          <w:color w:val="auto"/>
          <w:sz w:val="28"/>
          <w:szCs w:val="28"/>
        </w:rPr>
        <w:t xml:space="preserve">                Р.В. Шашкин</w:t>
      </w:r>
    </w:p>
    <w:p w:rsidR="00EC56C9" w:rsidRDefault="00EC56C9">
      <w:pPr>
        <w:contextualSpacing/>
        <w:jc w:val="both"/>
        <w:rPr>
          <w:sz w:val="24"/>
        </w:rPr>
      </w:pPr>
    </w:p>
    <w:sectPr w:rsidR="00EC56C9">
      <w:headerReference w:type="default" r:id="rId11"/>
      <w:footerReference w:type="first" r:id="rId12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26" w:rsidRDefault="00BB2526">
      <w:r>
        <w:separator/>
      </w:r>
    </w:p>
  </w:endnote>
  <w:endnote w:type="continuationSeparator" w:id="0">
    <w:p w:rsidR="00BB2526" w:rsidRDefault="00BB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PT Astra Serif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C9" w:rsidRDefault="00EC56C9">
    <w:pPr>
      <w:pStyle w:val="a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26" w:rsidRDefault="00BB2526">
      <w:r>
        <w:separator/>
      </w:r>
    </w:p>
  </w:footnote>
  <w:footnote w:type="continuationSeparator" w:id="0">
    <w:p w:rsidR="00BB2526" w:rsidRDefault="00BB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C9" w:rsidRDefault="00BB2526">
    <w:pPr>
      <w:pStyle w:val="aff4"/>
      <w:jc w:val="center"/>
      <w:rPr>
        <w:sz w:val="28"/>
      </w:rPr>
    </w:pPr>
    <w:r>
      <w:rPr>
        <w:sz w:val="28"/>
      </w:rPr>
      <w:t>2</w:t>
    </w:r>
  </w:p>
  <w:p w:rsidR="00EC56C9" w:rsidRDefault="00EC56C9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A98"/>
    <w:multiLevelType w:val="hybridMultilevel"/>
    <w:tmpl w:val="52FCEC66"/>
    <w:lvl w:ilvl="0" w:tplc="84A89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4C5EFF7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5F0B08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CEA0CB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0047F0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AC2F2E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A0FEC3A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372FEA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13E35A6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C9"/>
    <w:rsid w:val="003F3CFB"/>
    <w:rsid w:val="00BB2526"/>
    <w:rsid w:val="00EC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7DFB"/>
  <w15:docId w15:val="{9E082BE4-9514-4505-B885-A0CB4A45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  <w:style w:type="character" w:customStyle="1" w:styleId="54">
    <w:name w:val="Заголовок №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1"/>
      <w:szCs w:val="21"/>
      <w:u w:val="single"/>
      <w:vertAlign w:val="baseline"/>
      <w:lang w:val="ru-RU"/>
    </w:rPr>
  </w:style>
  <w:style w:type="paragraph" w:customStyle="1" w:styleId="aff8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110</cp:revision>
  <dcterms:created xsi:type="dcterms:W3CDTF">2020-12-26T06:51:00Z</dcterms:created>
  <dcterms:modified xsi:type="dcterms:W3CDTF">2025-04-10T09:38:00Z</dcterms:modified>
</cp:coreProperties>
</file>