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2" w:rsidRDefault="004C5628">
      <w:pPr>
        <w:spacing w:line="288" w:lineRule="auto"/>
        <w:jc w:val="center"/>
      </w:pPr>
      <w:r>
        <w:t xml:space="preserve"> 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5A2" w:rsidRDefault="004C56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705A2" w:rsidRDefault="004C56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705A2" w:rsidRDefault="000705A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705A2" w:rsidRDefault="000705A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705A2" w:rsidRDefault="004C562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705A2" w:rsidRDefault="000705A2">
      <w:pPr>
        <w:tabs>
          <w:tab w:val="left" w:pos="709"/>
        </w:tabs>
        <w:jc w:val="center"/>
        <w:rPr>
          <w:sz w:val="28"/>
        </w:rPr>
      </w:pPr>
    </w:p>
    <w:p w:rsidR="000705A2" w:rsidRDefault="000705A2">
      <w:pPr>
        <w:tabs>
          <w:tab w:val="left" w:pos="709"/>
        </w:tabs>
        <w:jc w:val="center"/>
        <w:rPr>
          <w:sz w:val="28"/>
        </w:rPr>
      </w:pPr>
    </w:p>
    <w:p w:rsidR="000705A2" w:rsidRDefault="004C562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361DF">
        <w:rPr>
          <w:sz w:val="28"/>
        </w:rPr>
        <w:t xml:space="preserve"> 14 </w:t>
      </w:r>
      <w:r>
        <w:rPr>
          <w:sz w:val="28"/>
        </w:rPr>
        <w:t>»</w:t>
      </w:r>
      <w:r w:rsidR="000361DF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</w:t>
      </w:r>
      <w:r w:rsidR="000361DF">
        <w:rPr>
          <w:sz w:val="28"/>
        </w:rPr>
        <w:tab/>
      </w:r>
      <w:r w:rsidR="000361DF">
        <w:rPr>
          <w:sz w:val="28"/>
        </w:rPr>
        <w:tab/>
      </w:r>
      <w:r>
        <w:rPr>
          <w:sz w:val="28"/>
        </w:rPr>
        <w:t xml:space="preserve">      № </w:t>
      </w:r>
      <w:r w:rsidR="000361DF">
        <w:rPr>
          <w:sz w:val="28"/>
        </w:rPr>
        <w:t>280-п</w:t>
      </w:r>
    </w:p>
    <w:p w:rsidR="000705A2" w:rsidRDefault="000705A2">
      <w:pPr>
        <w:tabs>
          <w:tab w:val="left" w:pos="709"/>
        </w:tabs>
        <w:jc w:val="both"/>
        <w:rPr>
          <w:sz w:val="28"/>
        </w:rPr>
      </w:pPr>
    </w:p>
    <w:p w:rsidR="000705A2" w:rsidRDefault="000705A2">
      <w:pPr>
        <w:tabs>
          <w:tab w:val="left" w:pos="709"/>
        </w:tabs>
        <w:jc w:val="both"/>
        <w:rPr>
          <w:sz w:val="28"/>
        </w:rPr>
      </w:pPr>
    </w:p>
    <w:p w:rsidR="000705A2" w:rsidRDefault="004C562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Тюшевское сельское поселение Рязанского муниципального района</w:t>
      </w:r>
    </w:p>
    <w:p w:rsidR="000705A2" w:rsidRDefault="004C562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0705A2" w:rsidRDefault="000705A2">
      <w:pPr>
        <w:tabs>
          <w:tab w:val="left" w:pos="709"/>
        </w:tabs>
        <w:jc w:val="center"/>
        <w:rPr>
          <w:color w:val="auto"/>
          <w:sz w:val="28"/>
        </w:rPr>
      </w:pPr>
    </w:p>
    <w:p w:rsidR="000705A2" w:rsidRDefault="004C562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>нской области», с учетом заключения о результатах общественных обсуждений                   от 03</w:t>
      </w:r>
      <w:r>
        <w:rPr>
          <w:color w:val="auto"/>
          <w:sz w:val="28"/>
          <w:szCs w:val="28"/>
        </w:rPr>
        <w:t>.03.2025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</w:t>
      </w:r>
      <w:r>
        <w:rPr>
          <w:color w:val="auto"/>
          <w:sz w:val="28"/>
          <w:szCs w:val="28"/>
        </w:rPr>
        <w:t>троительства Рязанской области», главное управление архитектуры и градостроительства Рязанской области ПОСТАНОВЛЯЕТ:</w:t>
      </w:r>
    </w:p>
    <w:p w:rsidR="000705A2" w:rsidRDefault="004C5628" w:rsidP="004C56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Тюшевское сельское поселение Рязанского муниципального района Рязанской</w:t>
      </w:r>
      <w:r>
        <w:rPr>
          <w:color w:val="auto"/>
          <w:sz w:val="28"/>
          <w:szCs w:val="28"/>
        </w:rPr>
        <w:t xml:space="preserve"> области, утвержденный постановлением главного управления архитектуры и градостроительства Рязанской области от 18.06.2021 № 238-п 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 Тюшевское сельское поселение Рязанского муниципального район</w:t>
      </w:r>
      <w:r>
        <w:rPr>
          <w:color w:val="auto"/>
          <w:sz w:val="28"/>
          <w:szCs w:val="28"/>
        </w:rPr>
        <w:t xml:space="preserve">а Рязанской области» </w:t>
      </w:r>
      <w:r>
        <w:rPr>
          <w:color w:val="auto"/>
          <w:sz w:val="28"/>
          <w:szCs w:val="28"/>
        </w:rPr>
        <w:br/>
        <w:t xml:space="preserve">(в редакции постановлений Главархитектуры Рязанской области от 16.02.2024 </w:t>
      </w:r>
      <w:r>
        <w:rPr>
          <w:color w:val="auto"/>
          <w:sz w:val="28"/>
          <w:szCs w:val="28"/>
        </w:rPr>
        <w:br/>
        <w:t xml:space="preserve">№ 56-п, от 21.06.2024 № 290-п, от 25.09.2024 № 498-п, от 29.10.2024 № 614-п, </w:t>
      </w:r>
      <w:r>
        <w:rPr>
          <w:color w:val="auto"/>
          <w:sz w:val="28"/>
          <w:szCs w:val="28"/>
        </w:rPr>
        <w:br/>
        <w:t>от 22.11.2024 № 677-п, от 13.12.2024 № 733-п</w:t>
      </w:r>
      <w:r>
        <w:rPr>
          <w:color w:val="auto"/>
          <w:sz w:val="28"/>
          <w:szCs w:val="28"/>
          <w:highlight w:val="white"/>
        </w:rPr>
        <w:t>, от 27.03.2025 № 225-п):</w:t>
      </w:r>
    </w:p>
    <w:p w:rsidR="000705A2" w:rsidRDefault="004C562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 в пункте</w:t>
      </w:r>
      <w:r>
        <w:rPr>
          <w:color w:val="000000" w:themeColor="text1"/>
          <w:sz w:val="28"/>
          <w:szCs w:val="28"/>
          <w:highlight w:val="white"/>
        </w:rPr>
        <w:t xml:space="preserve"> 2.2 положения о территориальном планировании в таблице, определяющей площади функциональных зон:</w:t>
      </w:r>
    </w:p>
    <w:p w:rsidR="000705A2" w:rsidRDefault="004C562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- цифры «561,66» заменить цифрами «795,17»; </w:t>
      </w:r>
    </w:p>
    <w:p w:rsidR="000705A2" w:rsidRDefault="004C5628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 цифры «5528,70» заменить цифрами «5295,19»;</w:t>
      </w:r>
    </w:p>
    <w:p w:rsidR="000705A2" w:rsidRDefault="004C562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2) в приложении № 1 согласно приложению № 1 к настоящему постановлению;</w:t>
      </w:r>
    </w:p>
    <w:p w:rsidR="000705A2" w:rsidRDefault="004C562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3) в приложении № 2 согласно приложению № 2 к настоящему постановлению</w:t>
      </w:r>
      <w:r>
        <w:rPr>
          <w:color w:val="000000" w:themeColor="text1"/>
          <w:sz w:val="28"/>
          <w:szCs w:val="28"/>
        </w:rPr>
        <w:t>;</w:t>
      </w:r>
    </w:p>
    <w:p w:rsidR="000705A2" w:rsidRDefault="004C562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highlight w:val="white"/>
        </w:rPr>
        <w:t>) в приложении № 3 согласно приложению № 3 к настоящему постановлению</w:t>
      </w:r>
      <w:r>
        <w:rPr>
          <w:sz w:val="28"/>
          <w:szCs w:val="28"/>
          <w:highlight w:val="white"/>
        </w:rPr>
        <w:t>.</w:t>
      </w:r>
    </w:p>
    <w:p w:rsidR="000705A2" w:rsidRDefault="004C5628" w:rsidP="004C56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>
        <w:rPr>
          <w:color w:val="000000" w:themeColor="text1"/>
          <w:sz w:val="28"/>
          <w:szCs w:val="28"/>
        </w:rPr>
        <w:t>со дня его официального опубликования.</w:t>
      </w:r>
    </w:p>
    <w:p w:rsidR="000705A2" w:rsidRDefault="004C5628" w:rsidP="004C56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Тюшевское сельское поселение</w:t>
      </w:r>
      <w:r>
        <w:rPr>
          <w:color w:val="auto"/>
          <w:sz w:val="28"/>
          <w:szCs w:val="28"/>
        </w:rPr>
        <w:t xml:space="preserve">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</w:t>
      </w:r>
      <w:r>
        <w:rPr>
          <w:color w:val="000000" w:themeColor="text1"/>
          <w:sz w:val="28"/>
          <w:szCs w:val="28"/>
        </w:rPr>
        <w:t>аниями Градостроительного кодекса Российской Федерации.</w:t>
      </w:r>
    </w:p>
    <w:p w:rsidR="000705A2" w:rsidRDefault="004C5628" w:rsidP="004C56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705A2" w:rsidRDefault="004C56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705A2" w:rsidRDefault="004C56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</w:t>
      </w:r>
      <w:r>
        <w:rPr>
          <w:rFonts w:ascii="Times New Roman" w:hAnsi="Times New Roman"/>
          <w:color w:val="000000" w:themeColor="text1"/>
          <w:sz w:val="28"/>
          <w:szCs w:val="28"/>
        </w:rPr>
        <w:t>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705A2" w:rsidRDefault="004C5628" w:rsidP="004C56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</w:t>
      </w:r>
      <w:r>
        <w:rPr>
          <w:color w:val="000000" w:themeColor="text1"/>
          <w:sz w:val="28"/>
          <w:szCs w:val="28"/>
        </w:rPr>
        <w:t>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705A2" w:rsidRDefault="004C5628" w:rsidP="004C56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</w:t>
      </w:r>
      <w:r>
        <w:rPr>
          <w:color w:val="000000" w:themeColor="text1"/>
          <w:sz w:val="28"/>
          <w:szCs w:val="28"/>
        </w:rPr>
        <w:t xml:space="preserve">образования – </w:t>
      </w:r>
      <w:r>
        <w:rPr>
          <w:color w:val="auto"/>
          <w:sz w:val="28"/>
          <w:szCs w:val="28"/>
        </w:rPr>
        <w:t>Тюшевское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705A2" w:rsidRDefault="004C5628" w:rsidP="004C56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</w:t>
      </w:r>
      <w:r>
        <w:rPr>
          <w:rFonts w:eastAsia="NSimSun" w:cs="Arial"/>
          <w:color w:val="000000" w:themeColor="text1"/>
          <w:sz w:val="28"/>
          <w:szCs w:val="28"/>
        </w:rPr>
        <w:t xml:space="preserve">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705A2" w:rsidRDefault="000705A2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0705A2" w:rsidRDefault="000705A2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0705A2" w:rsidRDefault="004C562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Р.В. Шашкин</w:t>
      </w:r>
    </w:p>
    <w:p w:rsidR="000705A2" w:rsidRDefault="000705A2"/>
    <w:sectPr w:rsidR="000705A2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28" w:rsidRDefault="004C5628">
      <w:r>
        <w:separator/>
      </w:r>
    </w:p>
  </w:endnote>
  <w:endnote w:type="continuationSeparator" w:id="0">
    <w:p w:rsidR="004C5628" w:rsidRDefault="004C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28" w:rsidRDefault="004C5628">
      <w:r>
        <w:separator/>
      </w:r>
    </w:p>
  </w:footnote>
  <w:footnote w:type="continuationSeparator" w:id="0">
    <w:p w:rsidR="004C5628" w:rsidRDefault="004C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A2" w:rsidRDefault="004C5628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361DF" w:rsidRPr="000361D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705A2" w:rsidRDefault="000705A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2765"/>
    <w:multiLevelType w:val="multilevel"/>
    <w:tmpl w:val="CAB04C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A2"/>
    <w:rsid w:val="000361DF"/>
    <w:rsid w:val="000705A2"/>
    <w:rsid w:val="004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5FDD"/>
  <w15:docId w15:val="{9AD15354-36DF-471A-B9EE-0D129D1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181</cp:revision>
  <dcterms:created xsi:type="dcterms:W3CDTF">2025-04-14T14:54:00Z</dcterms:created>
  <dcterms:modified xsi:type="dcterms:W3CDTF">2025-04-14T14:56:00Z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